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B91F9" w14:textId="77777777" w:rsidR="00A9138C" w:rsidRDefault="00A9138C" w:rsidP="00A9138C">
      <w:pPr>
        <w:jc w:val="center"/>
        <w:rPr>
          <w:rFonts w:cstheme="minorHAnsi"/>
          <w:b/>
          <w:bCs/>
          <w:lang w:val="fr-FR"/>
        </w:rPr>
      </w:pPr>
      <w:r>
        <w:rPr>
          <w:noProof/>
        </w:rPr>
        <w:drawing>
          <wp:inline distT="0" distB="0" distL="0" distR="0" wp14:anchorId="6900958F" wp14:editId="1F0D002C">
            <wp:extent cx="2876550" cy="989606"/>
            <wp:effectExtent l="0" t="0" r="0" b="1270"/>
            <wp:docPr id="1" name="Pilt 1" descr="Pilt, millel on kujutatud tekst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 descr="Pilt, millel on kujutatud tekst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515" cy="101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41303" w14:textId="77777777" w:rsidR="00A9138C" w:rsidRDefault="00A9138C" w:rsidP="00DD179E">
      <w:pPr>
        <w:rPr>
          <w:rFonts w:cstheme="minorHAnsi"/>
          <w:b/>
          <w:bCs/>
          <w:lang w:val="fr-FR"/>
        </w:rPr>
      </w:pPr>
    </w:p>
    <w:p w14:paraId="19BA8B1A" w14:textId="77777777" w:rsidR="00EC2B86" w:rsidRDefault="00A9138C" w:rsidP="006A5D6C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094684">
        <w:rPr>
          <w:rFonts w:ascii="Cambria" w:hAnsi="Cambria"/>
          <w:b/>
          <w:bCs/>
          <w:sz w:val="24"/>
          <w:szCs w:val="24"/>
          <w:lang w:val="fr-FR"/>
        </w:rPr>
        <w:t xml:space="preserve">RÉSEAU DES PRÉSIDENTS DES COURS SUPRÊMES JUDICIAIRES </w:t>
      </w:r>
    </w:p>
    <w:p w14:paraId="7CFB8E23" w14:textId="4B76702F" w:rsidR="00B632E4" w:rsidRDefault="00A9138C" w:rsidP="006A5D6C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094684">
        <w:rPr>
          <w:rFonts w:ascii="Cambria" w:hAnsi="Cambria"/>
          <w:b/>
          <w:bCs/>
          <w:sz w:val="24"/>
          <w:szCs w:val="24"/>
          <w:lang w:val="fr-FR"/>
        </w:rPr>
        <w:t>DE L’UNION EUROPÉENNE</w:t>
      </w:r>
    </w:p>
    <w:p w14:paraId="1DB96E8A" w14:textId="77777777" w:rsidR="001357DC" w:rsidRPr="00051898" w:rsidRDefault="001357DC" w:rsidP="006A5D6C">
      <w:pPr>
        <w:spacing w:after="0"/>
        <w:jc w:val="center"/>
        <w:rPr>
          <w:rFonts w:ascii="Cambria" w:hAnsi="Cambria"/>
          <w:b/>
          <w:bCs/>
          <w:sz w:val="28"/>
          <w:szCs w:val="28"/>
          <w:lang w:val="fr-FR"/>
        </w:rPr>
      </w:pPr>
    </w:p>
    <w:p w14:paraId="77B305D0" w14:textId="3569FC37" w:rsidR="00A9138C" w:rsidRPr="00DC6AB3" w:rsidRDefault="00A9138C" w:rsidP="006A5D6C">
      <w:pPr>
        <w:spacing w:after="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DC6AB3">
        <w:rPr>
          <w:rFonts w:ascii="Cambria" w:hAnsi="Cambria"/>
          <w:b/>
          <w:bCs/>
          <w:sz w:val="24"/>
          <w:szCs w:val="24"/>
          <w:lang w:val="fr-FR"/>
        </w:rPr>
        <w:t>CO</w:t>
      </w:r>
      <w:r w:rsidR="006A7429" w:rsidRPr="00DC6AB3">
        <w:rPr>
          <w:rFonts w:ascii="Cambria" w:hAnsi="Cambria"/>
          <w:b/>
          <w:bCs/>
          <w:sz w:val="24"/>
          <w:szCs w:val="24"/>
          <w:lang w:val="fr-FR"/>
        </w:rPr>
        <w:t>NF</w:t>
      </w:r>
      <w:r w:rsidR="00E22FA9">
        <w:rPr>
          <w:rFonts w:ascii="Cambria" w:hAnsi="Cambria"/>
          <w:b/>
          <w:bCs/>
          <w:sz w:val="24"/>
          <w:szCs w:val="24"/>
          <w:lang w:val="fr-FR"/>
        </w:rPr>
        <w:t>É</w:t>
      </w:r>
      <w:r w:rsidR="006A7429" w:rsidRPr="00DC6AB3">
        <w:rPr>
          <w:rFonts w:ascii="Cambria" w:hAnsi="Cambria"/>
          <w:b/>
          <w:bCs/>
          <w:sz w:val="24"/>
          <w:szCs w:val="24"/>
          <w:lang w:val="fr-FR"/>
        </w:rPr>
        <w:t>RENCE</w:t>
      </w:r>
      <w:r w:rsidRPr="00DC6AB3">
        <w:rPr>
          <w:rFonts w:ascii="Cambria" w:hAnsi="Cambria"/>
          <w:b/>
          <w:bCs/>
          <w:sz w:val="24"/>
          <w:szCs w:val="24"/>
          <w:lang w:val="fr-FR"/>
        </w:rPr>
        <w:t xml:space="preserve"> DU RÉSEAU</w:t>
      </w:r>
    </w:p>
    <w:p w14:paraId="4537EFD5" w14:textId="77777777" w:rsidR="00E22FA9" w:rsidRDefault="00E22FA9" w:rsidP="006A5D6C">
      <w:pPr>
        <w:spacing w:after="0"/>
        <w:jc w:val="center"/>
        <w:rPr>
          <w:rFonts w:ascii="Cambria" w:eastAsia="Dotum" w:hAnsi="Cambria" w:cs="David"/>
          <w:b/>
          <w:bCs/>
          <w:sz w:val="20"/>
          <w:szCs w:val="20"/>
          <w:lang w:val="fr-FR"/>
        </w:rPr>
      </w:pPr>
    </w:p>
    <w:p w14:paraId="29F2EC5B" w14:textId="360F85E9" w:rsidR="00A9138C" w:rsidRPr="00B52686" w:rsidRDefault="00B10C69" w:rsidP="006A5D6C">
      <w:pPr>
        <w:spacing w:after="0"/>
        <w:jc w:val="center"/>
        <w:rPr>
          <w:rFonts w:ascii="Cambria" w:eastAsia="Dotum" w:hAnsi="Cambria" w:cs="David"/>
          <w:b/>
          <w:bCs/>
          <w:sz w:val="20"/>
          <w:szCs w:val="20"/>
          <w:lang w:val="fr-FR"/>
        </w:rPr>
      </w:pPr>
      <w:r>
        <w:rPr>
          <w:rFonts w:ascii="Cambria" w:eastAsia="Dotum" w:hAnsi="Cambria" w:cs="David"/>
          <w:b/>
          <w:bCs/>
          <w:sz w:val="20"/>
          <w:szCs w:val="20"/>
          <w:lang w:val="fr-FR"/>
        </w:rPr>
        <w:t>3–</w:t>
      </w:r>
      <w:r w:rsidR="00426C09">
        <w:rPr>
          <w:rFonts w:ascii="Cambria" w:eastAsia="Dotum" w:hAnsi="Cambria" w:cs="David"/>
          <w:b/>
          <w:bCs/>
          <w:sz w:val="20"/>
          <w:szCs w:val="20"/>
          <w:lang w:val="fr-FR"/>
        </w:rPr>
        <w:t>4</w:t>
      </w:r>
      <w:r w:rsidR="00A9138C" w:rsidRPr="00B52686">
        <w:rPr>
          <w:rFonts w:ascii="Cambria" w:eastAsia="Dotum" w:hAnsi="Cambria" w:cs="David"/>
          <w:b/>
          <w:bCs/>
          <w:sz w:val="20"/>
          <w:szCs w:val="20"/>
          <w:lang w:val="fr-FR"/>
        </w:rPr>
        <w:t xml:space="preserve"> </w:t>
      </w:r>
      <w:r>
        <w:rPr>
          <w:rFonts w:ascii="Cambria" w:eastAsia="Dotum" w:hAnsi="Cambria" w:cs="David"/>
          <w:b/>
          <w:bCs/>
          <w:sz w:val="20"/>
          <w:szCs w:val="20"/>
          <w:lang w:val="fr-FR"/>
        </w:rPr>
        <w:t>OCTOBRE</w:t>
      </w:r>
      <w:r w:rsidR="00A9138C" w:rsidRPr="00B52686">
        <w:rPr>
          <w:rFonts w:ascii="Cambria" w:eastAsia="Dotum" w:hAnsi="Cambria" w:cs="David"/>
          <w:b/>
          <w:bCs/>
          <w:sz w:val="20"/>
          <w:szCs w:val="20"/>
          <w:lang w:val="fr-FR"/>
        </w:rPr>
        <w:t xml:space="preserve"> 202</w:t>
      </w:r>
      <w:r>
        <w:rPr>
          <w:rFonts w:ascii="Cambria" w:eastAsia="Dotum" w:hAnsi="Cambria" w:cs="David"/>
          <w:b/>
          <w:bCs/>
          <w:sz w:val="20"/>
          <w:szCs w:val="20"/>
          <w:lang w:val="fr-FR"/>
        </w:rPr>
        <w:t>4</w:t>
      </w:r>
    </w:p>
    <w:p w14:paraId="7F9EDEF8" w14:textId="677AB460" w:rsidR="009513C6" w:rsidRPr="00353472" w:rsidRDefault="009513C6" w:rsidP="00353472">
      <w:pPr>
        <w:spacing w:after="0"/>
        <w:jc w:val="center"/>
        <w:rPr>
          <w:rFonts w:ascii="Cambria" w:eastAsia="Dotum" w:hAnsi="Cambria" w:cs="David"/>
          <w:b/>
          <w:bCs/>
          <w:sz w:val="20"/>
          <w:szCs w:val="20"/>
          <w:lang w:val="fr-FR"/>
        </w:rPr>
      </w:pPr>
      <w:r w:rsidRPr="009513C6">
        <w:rPr>
          <w:rFonts w:ascii="Cambria" w:eastAsia="Dotum" w:hAnsi="Cambria" w:cs="David"/>
          <w:b/>
          <w:bCs/>
          <w:sz w:val="20"/>
          <w:szCs w:val="20"/>
          <w:lang w:val="fr-FR"/>
        </w:rPr>
        <w:t>ATHÈNES, GRÈCE</w:t>
      </w:r>
    </w:p>
    <w:p w14:paraId="25B9A9E8" w14:textId="77777777" w:rsidR="00353472" w:rsidRDefault="00353472" w:rsidP="006A5D6C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fr-FR"/>
        </w:rPr>
      </w:pPr>
    </w:p>
    <w:p w14:paraId="524F48E7" w14:textId="6966BEFC" w:rsidR="00A9138C" w:rsidRPr="00085305" w:rsidRDefault="00A9138C" w:rsidP="006A5D6C">
      <w:pPr>
        <w:spacing w:after="0"/>
        <w:jc w:val="center"/>
        <w:rPr>
          <w:rFonts w:ascii="Cambria" w:eastAsia="Dotum" w:hAnsi="Cambria" w:cs="David"/>
          <w:b/>
          <w:bCs/>
          <w:sz w:val="28"/>
          <w:szCs w:val="28"/>
          <w:lang w:val="fr-FR"/>
        </w:rPr>
      </w:pPr>
      <w:r w:rsidRPr="00B52686">
        <w:rPr>
          <w:rFonts w:ascii="Cambria" w:eastAsia="Dotum" w:hAnsi="Cambria" w:cs="David"/>
          <w:b/>
          <w:bCs/>
          <w:sz w:val="28"/>
          <w:szCs w:val="28"/>
          <w:lang w:val="fr-FR"/>
        </w:rPr>
        <w:t>«</w:t>
      </w:r>
      <w:r w:rsidR="008645F3" w:rsidRPr="00B52686">
        <w:rPr>
          <w:rFonts w:ascii="Cambria" w:eastAsia="Dotum" w:hAnsi="Cambria" w:cs="David"/>
          <w:b/>
          <w:bCs/>
          <w:sz w:val="28"/>
          <w:szCs w:val="28"/>
          <w:lang w:val="fr-FR"/>
        </w:rPr>
        <w:t xml:space="preserve"> L’attractivité du système judiciaire</w:t>
      </w:r>
      <w:r w:rsidRPr="00B52686">
        <w:rPr>
          <w:rFonts w:ascii="Cambria" w:eastAsia="Dotum" w:hAnsi="Cambria" w:cs="David"/>
          <w:b/>
          <w:bCs/>
          <w:sz w:val="28"/>
          <w:szCs w:val="28"/>
          <w:lang w:val="fr-FR"/>
        </w:rPr>
        <w:t> »</w:t>
      </w:r>
    </w:p>
    <w:p w14:paraId="46ACA9F2" w14:textId="77777777" w:rsidR="00A9138C" w:rsidRPr="00617705" w:rsidRDefault="00A9138C" w:rsidP="006A5D6C">
      <w:pPr>
        <w:spacing w:after="0"/>
        <w:jc w:val="center"/>
        <w:rPr>
          <w:rFonts w:ascii="Cambria" w:eastAsia="Dotum" w:hAnsi="Cambria" w:cs="David"/>
          <w:b/>
          <w:bCs/>
          <w:i/>
          <w:iCs/>
          <w:sz w:val="24"/>
          <w:szCs w:val="24"/>
          <w:lang w:val="fr-FR"/>
        </w:rPr>
      </w:pPr>
      <w:r w:rsidRPr="00617705">
        <w:rPr>
          <w:rFonts w:ascii="Cambria" w:eastAsia="Dotum" w:hAnsi="Cambria" w:cs="David"/>
          <w:b/>
          <w:bCs/>
          <w:sz w:val="24"/>
          <w:szCs w:val="24"/>
          <w:lang w:val="fr-FR"/>
        </w:rPr>
        <w:t>QUESTIONNAIRE</w:t>
      </w:r>
    </w:p>
    <w:p w14:paraId="3F3DC7B5" w14:textId="77777777" w:rsidR="00085305" w:rsidRDefault="00085305" w:rsidP="006A5D6C">
      <w:pPr>
        <w:spacing w:after="0"/>
        <w:ind w:left="360" w:hanging="360"/>
        <w:jc w:val="center"/>
        <w:rPr>
          <w:rFonts w:ascii="Cambria" w:hAnsi="Cambria"/>
          <w:b/>
          <w:bCs/>
          <w:sz w:val="28"/>
          <w:szCs w:val="28"/>
          <w:lang w:val="fr-FR"/>
        </w:rPr>
      </w:pPr>
    </w:p>
    <w:p w14:paraId="7FE21357" w14:textId="77777777" w:rsidR="002651C3" w:rsidRDefault="002651C3" w:rsidP="006A5D6C">
      <w:pPr>
        <w:spacing w:after="0"/>
        <w:ind w:left="360" w:hanging="360"/>
        <w:jc w:val="center"/>
        <w:rPr>
          <w:rFonts w:ascii="Cambria" w:hAnsi="Cambria"/>
          <w:b/>
          <w:bCs/>
          <w:sz w:val="28"/>
          <w:szCs w:val="28"/>
          <w:lang w:val="fr-FR"/>
        </w:rPr>
      </w:pPr>
    </w:p>
    <w:p w14:paraId="63B030E0" w14:textId="4DF502FE" w:rsidR="0027273A" w:rsidRPr="00C548F0" w:rsidRDefault="0027273A" w:rsidP="0027273A">
      <w:pPr>
        <w:jc w:val="center"/>
        <w:rPr>
          <w:rFonts w:ascii="Cambria" w:eastAsia="Dotum" w:hAnsi="Cambria" w:cs="David"/>
          <w:b/>
          <w:bCs/>
          <w:sz w:val="24"/>
          <w:szCs w:val="24"/>
          <w:lang w:val="fr-FR"/>
        </w:rPr>
      </w:pP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Etabli par </w:t>
      </w:r>
    </w:p>
    <w:p w14:paraId="794FE39A" w14:textId="0685CEB4" w:rsidR="0027273A" w:rsidRPr="00C548F0" w:rsidRDefault="0027273A" w:rsidP="0027273A">
      <w:pPr>
        <w:jc w:val="center"/>
        <w:rPr>
          <w:rFonts w:ascii="Cambria" w:eastAsia="Dotum" w:hAnsi="Cambria" w:cs="David"/>
          <w:b/>
          <w:bCs/>
          <w:sz w:val="24"/>
          <w:szCs w:val="24"/>
          <w:lang w:val="fr-FR"/>
        </w:rPr>
      </w:pP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M. Petr </w:t>
      </w:r>
      <w:proofErr w:type="spellStart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Angyalossy</w:t>
      </w:r>
      <w:proofErr w:type="spellEnd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br/>
        <w:t>Pr</w:t>
      </w:r>
      <w:r w:rsidR="00156B11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é</w:t>
      </w: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sident </w:t>
      </w:r>
      <w:r w:rsidR="004555EA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de la Cour suprême de la République tchèque</w:t>
      </w:r>
    </w:p>
    <w:p w14:paraId="08DB902C" w14:textId="777886A6" w:rsidR="0027273A" w:rsidRPr="00C548F0" w:rsidRDefault="0027273A" w:rsidP="0027273A">
      <w:pPr>
        <w:jc w:val="center"/>
        <w:rPr>
          <w:rFonts w:ascii="Cambria" w:eastAsia="Dotum" w:hAnsi="Cambria" w:cs="David"/>
          <w:b/>
          <w:bCs/>
          <w:sz w:val="24"/>
          <w:szCs w:val="24"/>
          <w:lang w:val="fr-FR"/>
        </w:rPr>
      </w:pP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M</w:t>
      </w:r>
      <w:r w:rsidR="00156B11" w:rsidRPr="00C548F0">
        <w:rPr>
          <w:rFonts w:ascii="Cambria" w:eastAsia="Dotum" w:hAnsi="Cambria" w:cs="David"/>
          <w:b/>
          <w:bCs/>
          <w:sz w:val="24"/>
          <w:szCs w:val="24"/>
          <w:vertAlign w:val="superscript"/>
          <w:lang w:val="fr-FR"/>
        </w:rPr>
        <w:t>me</w:t>
      </w: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 </w:t>
      </w:r>
      <w:proofErr w:type="spellStart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Danguolė</w:t>
      </w:r>
      <w:proofErr w:type="spellEnd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 </w:t>
      </w:r>
      <w:proofErr w:type="spellStart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Bublienė</w:t>
      </w:r>
      <w:proofErr w:type="spellEnd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br/>
        <w:t>Pr</w:t>
      </w:r>
      <w:r w:rsidR="00156B11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é</w:t>
      </w: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sident</w:t>
      </w:r>
      <w:r w:rsidR="00156B11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e</w:t>
      </w: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 </w:t>
      </w:r>
      <w:r w:rsidR="004555EA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de la Cour suprême de Lituanie</w:t>
      </w:r>
    </w:p>
    <w:p w14:paraId="6A3699F6" w14:textId="274DD834" w:rsidR="0027273A" w:rsidRPr="00C548F0" w:rsidRDefault="0027273A" w:rsidP="0027273A">
      <w:pPr>
        <w:jc w:val="center"/>
        <w:rPr>
          <w:rFonts w:ascii="Cambria" w:eastAsia="Dotum" w:hAnsi="Cambria" w:cs="David"/>
          <w:b/>
          <w:bCs/>
          <w:sz w:val="24"/>
          <w:szCs w:val="24"/>
          <w:lang w:val="fr-FR"/>
        </w:rPr>
      </w:pP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M. </w:t>
      </w:r>
      <w:proofErr w:type="spellStart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Miodrag</w:t>
      </w:r>
      <w:proofErr w:type="spellEnd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 </w:t>
      </w:r>
      <w:proofErr w:type="spellStart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Đorđević</w:t>
      </w:r>
      <w:proofErr w:type="spellEnd"/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br/>
        <w:t>Pr</w:t>
      </w:r>
      <w:r w:rsidR="00156B11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é</w:t>
      </w:r>
      <w:r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 xml:space="preserve">sident </w:t>
      </w:r>
      <w:r w:rsidR="004555EA" w:rsidRPr="00C548F0">
        <w:rPr>
          <w:rFonts w:ascii="Cambria" w:eastAsia="Dotum" w:hAnsi="Cambria" w:cs="David"/>
          <w:b/>
          <w:bCs/>
          <w:sz w:val="24"/>
          <w:szCs w:val="24"/>
          <w:lang w:val="fr-FR"/>
        </w:rPr>
        <w:t>de le Cour suprême de Slovénie</w:t>
      </w:r>
    </w:p>
    <w:p w14:paraId="7452996E" w14:textId="77777777" w:rsidR="0027273A" w:rsidRPr="00051898" w:rsidRDefault="0027273A" w:rsidP="0027273A">
      <w:pPr>
        <w:spacing w:after="0"/>
        <w:rPr>
          <w:rFonts w:ascii="Cambria" w:hAnsi="Cambria"/>
          <w:b/>
          <w:bCs/>
          <w:sz w:val="28"/>
          <w:szCs w:val="28"/>
          <w:lang w:val="fr-FR"/>
        </w:rPr>
      </w:pPr>
    </w:p>
    <w:p w14:paraId="601AD35D" w14:textId="1A04A515" w:rsidR="00A9138C" w:rsidRPr="00617705" w:rsidRDefault="00B52686" w:rsidP="006A5D6C">
      <w:pPr>
        <w:spacing w:after="0"/>
        <w:ind w:left="360" w:hanging="36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617705">
        <w:rPr>
          <w:rFonts w:ascii="Cambria" w:hAnsi="Cambria"/>
          <w:b/>
          <w:bCs/>
          <w:sz w:val="24"/>
          <w:szCs w:val="24"/>
          <w:lang w:val="fr-FR"/>
        </w:rPr>
        <w:t>PARTIE I</w:t>
      </w:r>
    </w:p>
    <w:p w14:paraId="34A4ADBA" w14:textId="7D4EA696" w:rsidR="00606DCB" w:rsidRDefault="00B70CAF" w:rsidP="006A5D6C">
      <w:pPr>
        <w:spacing w:after="0"/>
        <w:ind w:left="360" w:hanging="360"/>
        <w:jc w:val="center"/>
        <w:rPr>
          <w:rFonts w:ascii="Cambria" w:hAnsi="Cambria"/>
          <w:b/>
          <w:bCs/>
          <w:sz w:val="24"/>
          <w:szCs w:val="24"/>
          <w:lang w:val="fr-FR"/>
        </w:rPr>
      </w:pPr>
      <w:r w:rsidRPr="00617705">
        <w:rPr>
          <w:rFonts w:ascii="Cambria" w:hAnsi="Cambria"/>
          <w:b/>
          <w:bCs/>
          <w:sz w:val="24"/>
          <w:szCs w:val="24"/>
          <w:lang w:val="fr-FR"/>
        </w:rPr>
        <w:t xml:space="preserve">L’ATTRACTIVITÉ </w:t>
      </w:r>
      <w:r w:rsidR="00B52686" w:rsidRPr="00617705">
        <w:rPr>
          <w:rFonts w:ascii="Cambria" w:hAnsi="Cambria"/>
          <w:b/>
          <w:bCs/>
          <w:sz w:val="24"/>
          <w:szCs w:val="24"/>
          <w:lang w:val="fr-FR"/>
        </w:rPr>
        <w:t>DU SYST</w:t>
      </w:r>
      <w:r w:rsidR="00D52D31" w:rsidRPr="00617705">
        <w:rPr>
          <w:rFonts w:ascii="Cambria" w:hAnsi="Cambria" w:cstheme="minorHAnsi"/>
          <w:b/>
          <w:bCs/>
          <w:sz w:val="24"/>
          <w:szCs w:val="24"/>
          <w:lang w:val="fr-FR"/>
        </w:rPr>
        <w:t>È</w:t>
      </w:r>
      <w:r w:rsidR="00B52686" w:rsidRPr="00617705">
        <w:rPr>
          <w:rFonts w:ascii="Cambria" w:hAnsi="Cambria"/>
          <w:b/>
          <w:bCs/>
          <w:sz w:val="24"/>
          <w:szCs w:val="24"/>
          <w:lang w:val="fr-FR"/>
        </w:rPr>
        <w:t xml:space="preserve">ME JUDICIAIRE POUR </w:t>
      </w:r>
      <w:r w:rsidRPr="00617705">
        <w:rPr>
          <w:rFonts w:ascii="Cambria" w:hAnsi="Cambria"/>
          <w:b/>
          <w:bCs/>
          <w:sz w:val="24"/>
          <w:szCs w:val="24"/>
          <w:lang w:val="fr-FR"/>
        </w:rPr>
        <w:t>LES JUGES</w:t>
      </w:r>
    </w:p>
    <w:p w14:paraId="67428847" w14:textId="77777777" w:rsidR="002E0B3C" w:rsidRDefault="002E0B3C" w:rsidP="004314C7">
      <w:pPr>
        <w:spacing w:after="0" w:line="240" w:lineRule="auto"/>
        <w:rPr>
          <w:rFonts w:ascii="Cambria" w:hAnsi="Cambria"/>
          <w:b/>
          <w:bCs/>
          <w:sz w:val="24"/>
          <w:szCs w:val="24"/>
          <w:lang w:val="fr-FR"/>
        </w:rPr>
      </w:pPr>
    </w:p>
    <w:p w14:paraId="76FD6BDE" w14:textId="77777777" w:rsidR="00854506" w:rsidRPr="00617705" w:rsidRDefault="00854506" w:rsidP="004314C7">
      <w:pPr>
        <w:spacing w:after="0" w:line="240" w:lineRule="auto"/>
        <w:rPr>
          <w:rFonts w:ascii="Cambria" w:hAnsi="Cambria"/>
          <w:b/>
          <w:bCs/>
          <w:sz w:val="24"/>
          <w:szCs w:val="24"/>
          <w:lang w:val="fr-FR"/>
        </w:rPr>
      </w:pPr>
    </w:p>
    <w:p w14:paraId="276E5639" w14:textId="32EB5F0C" w:rsidR="00C92B01" w:rsidRPr="00B70CAF" w:rsidRDefault="00C92B01" w:rsidP="00C92B01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 w:rsidRPr="00B70CAF">
        <w:rPr>
          <w:b/>
          <w:bCs/>
          <w:lang w:val="fr-FR"/>
        </w:rPr>
        <w:t>R</w:t>
      </w:r>
      <w:r w:rsidR="00B70CAF">
        <w:rPr>
          <w:b/>
          <w:bCs/>
          <w:lang w:val="fr-FR"/>
        </w:rPr>
        <w:t>é</w:t>
      </w:r>
      <w:r w:rsidRPr="00B70CAF">
        <w:rPr>
          <w:b/>
          <w:bCs/>
          <w:lang w:val="fr-FR"/>
        </w:rPr>
        <w:t>mun</w:t>
      </w:r>
      <w:r w:rsidR="00B70CAF">
        <w:rPr>
          <w:b/>
          <w:bCs/>
          <w:lang w:val="fr-FR"/>
        </w:rPr>
        <w:t>é</w:t>
      </w:r>
      <w:r w:rsidRPr="00B70CAF">
        <w:rPr>
          <w:b/>
          <w:bCs/>
          <w:lang w:val="fr-FR"/>
        </w:rPr>
        <w:t>ration</w:t>
      </w:r>
    </w:p>
    <w:p w14:paraId="4EEE9A3A" w14:textId="6E92305F" w:rsidR="00C92B01" w:rsidRPr="00360088" w:rsidRDefault="00B70CAF" w:rsidP="00C92B01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Comment sont déterminés les salaires des juges </w:t>
      </w:r>
      <w:r w:rsidR="00C92B01" w:rsidRPr="00360088">
        <w:rPr>
          <w:b/>
          <w:bCs/>
          <w:lang w:val="fr-FR"/>
        </w:rPr>
        <w:t xml:space="preserve">? </w:t>
      </w:r>
      <w:r w:rsidRPr="00360088">
        <w:rPr>
          <w:b/>
          <w:bCs/>
          <w:lang w:val="fr-FR"/>
        </w:rPr>
        <w:t>Quels facteurs influencent les montants salariaux des juges</w:t>
      </w:r>
      <w:r w:rsidR="00C92B01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par exemple</w:t>
      </w:r>
      <w:r w:rsidR="00C92B01" w:rsidRPr="00360088">
        <w:rPr>
          <w:b/>
          <w:bCs/>
          <w:lang w:val="fr-FR"/>
        </w:rPr>
        <w:t xml:space="preserve"> </w:t>
      </w:r>
      <w:r w:rsidRPr="00360088">
        <w:rPr>
          <w:b/>
          <w:bCs/>
          <w:lang w:val="fr-FR"/>
        </w:rPr>
        <w:t xml:space="preserve">ancienneté dans le </w:t>
      </w:r>
      <w:r w:rsidR="00C92B01" w:rsidRPr="00360088">
        <w:rPr>
          <w:b/>
          <w:bCs/>
          <w:lang w:val="fr-FR"/>
        </w:rPr>
        <w:t>service, inflation)</w:t>
      </w:r>
      <w:r w:rsidRPr="00360088">
        <w:rPr>
          <w:b/>
          <w:bCs/>
          <w:lang w:val="fr-FR"/>
        </w:rPr>
        <w:t> </w:t>
      </w:r>
      <w:r w:rsidR="00FF1A81" w:rsidRPr="00360088">
        <w:rPr>
          <w:b/>
          <w:bCs/>
          <w:lang w:val="fr-FR"/>
        </w:rPr>
        <w:t>?</w:t>
      </w:r>
      <w:r w:rsidR="00C92B01" w:rsidRPr="00360088">
        <w:rPr>
          <w:b/>
          <w:bCs/>
          <w:lang w:val="fr-FR"/>
        </w:rPr>
        <w:t xml:space="preserve"> </w:t>
      </w:r>
      <w:r w:rsidRPr="00360088">
        <w:rPr>
          <w:b/>
          <w:bCs/>
          <w:lang w:val="fr-FR"/>
        </w:rPr>
        <w:t xml:space="preserve">Merci de </w:t>
      </w:r>
      <w:r w:rsidR="00EE7E21" w:rsidRPr="00360088">
        <w:rPr>
          <w:b/>
          <w:bCs/>
          <w:lang w:val="fr-FR"/>
        </w:rPr>
        <w:t>détailler</w:t>
      </w:r>
      <w:r w:rsidR="00C92B01" w:rsidRPr="00360088">
        <w:rPr>
          <w:b/>
          <w:bCs/>
          <w:lang w:val="fr-FR"/>
        </w:rPr>
        <w:t>.</w:t>
      </w:r>
    </w:p>
    <w:p w14:paraId="20F564F9" w14:textId="6EABE3B2" w:rsidR="002C1FED" w:rsidRPr="00360088" w:rsidRDefault="00B70CAF" w:rsidP="002C1FED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est le salaire brut initial d’un </w:t>
      </w:r>
      <w:r w:rsidR="00A235DD" w:rsidRPr="00360088">
        <w:rPr>
          <w:b/>
          <w:bCs/>
          <w:lang w:val="fr-FR"/>
        </w:rPr>
        <w:t>:</w:t>
      </w:r>
    </w:p>
    <w:p w14:paraId="3788EC1E" w14:textId="6F145E0D" w:rsidR="002C1FED" w:rsidRPr="00360088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proofErr w:type="gramStart"/>
      <w:r w:rsidR="00B70CAF" w:rsidRPr="00360088">
        <w:rPr>
          <w:b/>
          <w:bCs/>
          <w:lang w:val="fr-FR"/>
        </w:rPr>
        <w:t>juge</w:t>
      </w:r>
      <w:proofErr w:type="gramEnd"/>
      <w:r w:rsidR="00B70CAF" w:rsidRPr="00360088">
        <w:rPr>
          <w:b/>
          <w:bCs/>
          <w:lang w:val="fr-FR"/>
        </w:rPr>
        <w:t xml:space="preserve"> </w:t>
      </w:r>
      <w:r w:rsidR="008F2011" w:rsidRPr="00360088">
        <w:rPr>
          <w:b/>
          <w:bCs/>
          <w:lang w:val="fr-FR"/>
        </w:rPr>
        <w:t>dans un tribunal</w:t>
      </w:r>
      <w:r w:rsidR="00B70CAF" w:rsidRPr="00360088">
        <w:rPr>
          <w:b/>
          <w:bCs/>
          <w:lang w:val="fr-FR"/>
        </w:rPr>
        <w:t xml:space="preserve"> </w:t>
      </w:r>
      <w:r w:rsidR="008F2011" w:rsidRPr="00360088">
        <w:rPr>
          <w:b/>
          <w:bCs/>
          <w:lang w:val="fr-FR"/>
        </w:rPr>
        <w:t>d’</w:t>
      </w:r>
      <w:r w:rsidR="00B70CAF" w:rsidRPr="00360088">
        <w:rPr>
          <w:b/>
          <w:bCs/>
          <w:lang w:val="fr-FR"/>
        </w:rPr>
        <w:t>instance </w:t>
      </w:r>
      <w:r w:rsidR="00A235DD" w:rsidRPr="00360088">
        <w:rPr>
          <w:b/>
          <w:bCs/>
          <w:lang w:val="fr-FR"/>
        </w:rPr>
        <w:t>?</w:t>
      </w:r>
    </w:p>
    <w:p w14:paraId="6C4FF509" w14:textId="2A22F14D" w:rsidR="00C92B01" w:rsidRPr="00360088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proofErr w:type="gramStart"/>
      <w:r w:rsidR="00B70CAF" w:rsidRPr="00360088">
        <w:rPr>
          <w:b/>
          <w:bCs/>
          <w:lang w:val="fr-FR"/>
        </w:rPr>
        <w:t>juge</w:t>
      </w:r>
      <w:proofErr w:type="gramEnd"/>
      <w:r w:rsidR="00B70CAF" w:rsidRPr="00360088">
        <w:rPr>
          <w:b/>
          <w:bCs/>
          <w:lang w:val="fr-FR"/>
        </w:rPr>
        <w:t xml:space="preserve"> à la Cour suprême </w:t>
      </w:r>
      <w:r w:rsidR="00A235DD" w:rsidRPr="00360088">
        <w:rPr>
          <w:b/>
          <w:bCs/>
          <w:lang w:val="fr-FR"/>
        </w:rPr>
        <w:t>?</w:t>
      </w:r>
    </w:p>
    <w:p w14:paraId="5B1928D0" w14:textId="010E08A1" w:rsidR="002C1FED" w:rsidRPr="00360088" w:rsidRDefault="00B70CAF" w:rsidP="002C1FED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est le ratio entre le salaire brut initial indiqué en 1.2 et le salaire moyen </w:t>
      </w:r>
      <w:r w:rsidR="00C92B01" w:rsidRPr="00360088">
        <w:rPr>
          <w:b/>
          <w:bCs/>
          <w:lang w:val="fr-FR"/>
        </w:rPr>
        <w:t>:</w:t>
      </w:r>
    </w:p>
    <w:p w14:paraId="492547A2" w14:textId="4494F8D3" w:rsidR="002C1FED" w:rsidRPr="00360088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proofErr w:type="gramStart"/>
      <w:r w:rsidR="00B70CAF" w:rsidRPr="00360088">
        <w:rPr>
          <w:b/>
          <w:bCs/>
          <w:lang w:val="fr-FR"/>
        </w:rPr>
        <w:t>dans</w:t>
      </w:r>
      <w:proofErr w:type="gramEnd"/>
      <w:r w:rsidR="00B70CAF" w:rsidRPr="00360088">
        <w:rPr>
          <w:b/>
          <w:bCs/>
          <w:lang w:val="fr-FR"/>
        </w:rPr>
        <w:t xml:space="preserve"> votre pays </w:t>
      </w:r>
      <w:r w:rsidR="00A235DD" w:rsidRPr="00360088">
        <w:rPr>
          <w:b/>
          <w:bCs/>
          <w:lang w:val="fr-FR"/>
        </w:rPr>
        <w:t>?</w:t>
      </w:r>
    </w:p>
    <w:p w14:paraId="1DE39C4C" w14:textId="1D9D5CC6" w:rsidR="00C92B01" w:rsidRPr="00360088" w:rsidRDefault="00C428B1" w:rsidP="00C428B1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proofErr w:type="gramStart"/>
      <w:r w:rsidR="00B70CAF" w:rsidRPr="00360088">
        <w:rPr>
          <w:b/>
          <w:bCs/>
          <w:lang w:val="fr-FR"/>
        </w:rPr>
        <w:t>par</w:t>
      </w:r>
      <w:proofErr w:type="gramEnd"/>
      <w:r w:rsidR="00B70CAF" w:rsidRPr="00360088">
        <w:rPr>
          <w:b/>
          <w:bCs/>
          <w:lang w:val="fr-FR"/>
        </w:rPr>
        <w:t xml:space="preserve"> rapport à d’autres professions juridiques comparables</w:t>
      </w:r>
      <w:r w:rsidR="00C92B01" w:rsidRPr="00360088">
        <w:rPr>
          <w:b/>
          <w:bCs/>
          <w:lang w:val="fr-FR"/>
        </w:rPr>
        <w:t xml:space="preserve"> (</w:t>
      </w:r>
      <w:r w:rsidR="00B70CAF" w:rsidRPr="00360088">
        <w:rPr>
          <w:b/>
          <w:bCs/>
          <w:lang w:val="fr-FR"/>
        </w:rPr>
        <w:t>par exemple avocats</w:t>
      </w:r>
      <w:r w:rsidR="00C92B01" w:rsidRPr="00360088">
        <w:rPr>
          <w:b/>
          <w:bCs/>
          <w:lang w:val="fr-FR"/>
        </w:rPr>
        <w:t xml:space="preserve">, </w:t>
      </w:r>
      <w:r w:rsidR="00B70CAF" w:rsidRPr="00360088">
        <w:rPr>
          <w:b/>
          <w:bCs/>
          <w:lang w:val="fr-FR"/>
        </w:rPr>
        <w:t>notaires</w:t>
      </w:r>
      <w:r w:rsidR="00C92B01" w:rsidRPr="00360088">
        <w:rPr>
          <w:b/>
          <w:bCs/>
          <w:lang w:val="fr-FR"/>
        </w:rPr>
        <w:t>)</w:t>
      </w:r>
      <w:r w:rsidR="00B70CAF" w:rsidRPr="00360088">
        <w:rPr>
          <w:b/>
          <w:bCs/>
          <w:lang w:val="fr-FR"/>
        </w:rPr>
        <w:t> </w:t>
      </w:r>
      <w:r w:rsidR="00A235DD" w:rsidRPr="00360088">
        <w:rPr>
          <w:b/>
          <w:bCs/>
          <w:lang w:val="fr-FR"/>
        </w:rPr>
        <w:t>?</w:t>
      </w:r>
    </w:p>
    <w:p w14:paraId="310C801C" w14:textId="67E1B49E" w:rsidR="00193E01" w:rsidRPr="00360088" w:rsidRDefault="00B70CAF" w:rsidP="00193E01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est le ratio entre le salaire initial indiqué en 1.2 et le salaire initial des membres du Parlement ou des ministres ?</w:t>
      </w:r>
    </w:p>
    <w:p w14:paraId="3FEFE4CE" w14:textId="076CBD16" w:rsidR="00C92B01" w:rsidRPr="00360088" w:rsidRDefault="00B70CAF" w:rsidP="00C92B01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lastRenderedPageBreak/>
        <w:t xml:space="preserve">Existe-t-il, dans votre pays, une règle prévoyant que les salaires des juges sont augmentés ou diminués en fonction des disponibilités budgétaires de l’État, de la croissance économique ou de l’inflation ? Merci de </w:t>
      </w:r>
      <w:r w:rsidR="00EE7E21" w:rsidRPr="00360088">
        <w:rPr>
          <w:b/>
          <w:bCs/>
          <w:lang w:val="fr-FR"/>
        </w:rPr>
        <w:t>détailler</w:t>
      </w:r>
      <w:r w:rsidRPr="00360088">
        <w:rPr>
          <w:b/>
          <w:bCs/>
          <w:lang w:val="fr-FR"/>
        </w:rPr>
        <w:t>.</w:t>
      </w:r>
    </w:p>
    <w:p w14:paraId="298E6CB0" w14:textId="50EF9552" w:rsidR="00193E01" w:rsidRPr="00360088" w:rsidRDefault="00B70CAF" w:rsidP="00193E01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La Cour constitutionnelle s’est-elle déjà prononcée sur la constitutionnalité des salaires des juges ?</w:t>
      </w:r>
    </w:p>
    <w:p w14:paraId="71297A77" w14:textId="265C3449" w:rsidR="00C92B01" w:rsidRPr="00360088" w:rsidRDefault="00B70CAF" w:rsidP="00C92B01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Y a-t-il des discussions sur la possibilité de « geler » les salaires des juges ? Le cas s’est-il déjà présenté ? Une telle décision a-t-elle soulevé des problèmes constitutionnels ?</w:t>
      </w:r>
    </w:p>
    <w:p w14:paraId="67A897C9" w14:textId="3FBD95DD" w:rsidR="002E0B3C" w:rsidRPr="00854506" w:rsidRDefault="00B70CAF" w:rsidP="00854506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Y a-t-il eu débat</w:t>
      </w:r>
      <w:r w:rsidR="00C92B01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 xml:space="preserve">parmi les professionnels du droit, au sein du public </w:t>
      </w:r>
      <w:r w:rsidR="0012084A" w:rsidRPr="00360088">
        <w:rPr>
          <w:b/>
          <w:bCs/>
          <w:lang w:val="fr-FR"/>
        </w:rPr>
        <w:t>ou au niveau du législateur) sur de possibles</w:t>
      </w:r>
      <w:r w:rsidR="007E7958">
        <w:rPr>
          <w:b/>
          <w:bCs/>
          <w:lang w:val="fr-FR"/>
        </w:rPr>
        <w:t xml:space="preserve"> modifications</w:t>
      </w:r>
      <w:r w:rsidR="0012084A" w:rsidRPr="00360088">
        <w:rPr>
          <w:b/>
          <w:bCs/>
          <w:lang w:val="fr-FR"/>
        </w:rPr>
        <w:t xml:space="preserve"> au système actuel de rémunération des juges ou au montant de leur rémunération ?</w:t>
      </w:r>
    </w:p>
    <w:p w14:paraId="7A09D144" w14:textId="77777777" w:rsidR="004314C7" w:rsidRPr="00B70CAF" w:rsidRDefault="004314C7" w:rsidP="002C1FED">
      <w:pPr>
        <w:pStyle w:val="ListParagraph"/>
        <w:ind w:left="792"/>
        <w:jc w:val="both"/>
        <w:rPr>
          <w:lang w:val="fr-FR"/>
        </w:rPr>
      </w:pPr>
    </w:p>
    <w:p w14:paraId="7B9C21B8" w14:textId="60CD9BF9" w:rsidR="00137E33" w:rsidRPr="00360088" w:rsidRDefault="0012084A" w:rsidP="00137E33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Au</w:t>
      </w:r>
      <w:r w:rsidRPr="00360088">
        <w:rPr>
          <w:b/>
          <w:bCs/>
          <w:lang w:val="fr-FR"/>
        </w:rPr>
        <w:t>tres avantages matériels/non matériels</w:t>
      </w:r>
      <w:r w:rsidR="00137E33" w:rsidRPr="00360088">
        <w:rPr>
          <w:b/>
          <w:bCs/>
          <w:lang w:val="fr-FR"/>
        </w:rPr>
        <w:t xml:space="preserve"> </w:t>
      </w:r>
    </w:p>
    <w:p w14:paraId="388475D2" w14:textId="721CC198" w:rsidR="00B30595" w:rsidRPr="00360088" w:rsidRDefault="0012084A" w:rsidP="002A6470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Merci d’indiquer</w:t>
      </w:r>
      <w:r w:rsidR="0082634C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« </w:t>
      </w:r>
      <w:r w:rsidR="0082634C" w:rsidRPr="00360088">
        <w:rPr>
          <w:b/>
          <w:bCs/>
          <w:lang w:val="fr-FR"/>
        </w:rPr>
        <w:t>X</w:t>
      </w:r>
      <w:r w:rsidRPr="00360088">
        <w:rPr>
          <w:b/>
          <w:bCs/>
          <w:lang w:val="fr-FR"/>
        </w:rPr>
        <w:t> »</w:t>
      </w:r>
      <w:r w:rsidR="0082634C" w:rsidRPr="00360088">
        <w:rPr>
          <w:b/>
          <w:bCs/>
          <w:lang w:val="fr-FR"/>
        </w:rPr>
        <w:t>)</w:t>
      </w:r>
      <w:r w:rsidR="00137E33" w:rsidRPr="00360088">
        <w:rPr>
          <w:b/>
          <w:bCs/>
          <w:lang w:val="fr-FR"/>
        </w:rPr>
        <w:t xml:space="preserve"> </w:t>
      </w:r>
      <w:r w:rsidRPr="00360088">
        <w:rPr>
          <w:b/>
          <w:bCs/>
          <w:lang w:val="fr-FR"/>
        </w:rPr>
        <w:t>les avantages existant dans votre pays </w:t>
      </w:r>
      <w:r w:rsidR="0082634C" w:rsidRPr="00360088">
        <w:rPr>
          <w:b/>
          <w:bCs/>
          <w:lang w:val="fr-FR"/>
        </w:rPr>
        <w:t>:</w:t>
      </w:r>
    </w:p>
    <w:tbl>
      <w:tblPr>
        <w:tblStyle w:val="ListTable7Colorful"/>
        <w:tblW w:w="53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1"/>
        <w:gridCol w:w="1042"/>
        <w:gridCol w:w="918"/>
      </w:tblGrid>
      <w:tr w:rsidR="007F7784" w:rsidRPr="00B70CAF" w14:paraId="63C3AC2A" w14:textId="77777777" w:rsidTr="007D6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AD04746" w14:textId="72A782B7" w:rsidR="002A6470" w:rsidRPr="00B70CAF" w:rsidRDefault="0012084A" w:rsidP="00C2147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Avantages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B32FB" w14:textId="14F8A615" w:rsidR="002A6470" w:rsidRPr="00B70CAF" w:rsidRDefault="0012084A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Juges de </w:t>
            </w:r>
            <w:r w:rsidR="008F201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tribunal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 w:rsidR="008F2011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d’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instance</w:t>
            </w: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F85E6" w14:textId="434445C3" w:rsidR="002A6470" w:rsidRPr="00B70CAF" w:rsidRDefault="0012084A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Juges de la Cour suprême</w:t>
            </w:r>
          </w:p>
        </w:tc>
      </w:tr>
      <w:tr w:rsidR="007F7784" w:rsidRPr="00B70CAF" w14:paraId="131EB6BD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4B0A750" w14:textId="50855EB7" w:rsidR="002A6470" w:rsidRPr="00B70CAF" w:rsidRDefault="0012084A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Logement</w:t>
            </w:r>
            <w:r w:rsidR="00B746EF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 w:rsidR="005A162C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par exemple appartement</w:t>
            </w:r>
            <w:r w:rsidR="005A162C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0FA305" w14:textId="278F7670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EDD36E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7F7784" w:rsidRPr="00B70CAF" w14:paraId="281A2159" w14:textId="77777777" w:rsidTr="007D66E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C552663" w14:textId="2B78663A" w:rsidR="002A6470" w:rsidRPr="00B70CAF" w:rsidRDefault="00916221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Indemnité</w:t>
            </w:r>
            <w:r w:rsidR="0012084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de logement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AE6083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B92C14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7F7784" w:rsidRPr="00B70CAF" w14:paraId="2A8AFE50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D7E0B9B" w14:textId="52FF75B1" w:rsidR="002A6470" w:rsidRPr="00B70CAF" w:rsidRDefault="00916221" w:rsidP="00082F75">
            <w:pPr>
              <w:spacing w:line="276" w:lineRule="auto"/>
              <w:jc w:val="left"/>
              <w:rPr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Indemnité</w:t>
            </w:r>
            <w:r w:rsidR="0012084A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alimentaire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8FFC98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DA3168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7F7784" w:rsidRPr="00B70CAF" w14:paraId="3034877D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39AB4855" w14:textId="32AB3885" w:rsidR="00B746EF" w:rsidRPr="00B70CAF" w:rsidRDefault="007F7784" w:rsidP="00082F75">
            <w:pPr>
              <w:spacing w:line="276" w:lineRule="auto"/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Nombre de jours de congés </w:t>
            </w:r>
            <w:r w:rsidR="008F201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au-delà de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la durée légalement prescrite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02A8B0" w14:textId="77777777" w:rsidR="00B746EF" w:rsidRPr="00B70CAF" w:rsidRDefault="00B746E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00E508A" w14:textId="77777777" w:rsidR="00B746EF" w:rsidRPr="00B70CAF" w:rsidRDefault="00B746E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7B59B129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5C67C07" w14:textId="27FB0DDD" w:rsidR="00B746EF" w:rsidRPr="00B70CAF" w:rsidRDefault="007F7784" w:rsidP="00082F75">
            <w:pPr>
              <w:spacing w:line="276" w:lineRule="auto"/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Congés sabbatiques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90F2D6" w14:textId="77777777" w:rsidR="00B746EF" w:rsidRPr="00B70CAF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C0AA7F" w14:textId="77777777" w:rsidR="00B746EF" w:rsidRPr="00B70CAF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6E3CCD4E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406F24D9" w14:textId="2CB7B734" w:rsidR="002A6470" w:rsidRPr="00B70CAF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Absences pour raisons de santé</w:t>
            </w:r>
            <w:r w:rsidR="00082F75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hors système d’assurance santé</w:t>
            </w:r>
            <w:r w:rsidR="00082F75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566C3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A3F6B8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12C8A849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A1B91C1" w14:textId="48DD875C" w:rsidR="00C75E02" w:rsidRPr="00B70CAF" w:rsidRDefault="00B06C5F" w:rsidP="00082F75">
            <w:pPr>
              <w:spacing w:line="276" w:lineRule="auto"/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Congés d’</w:t>
            </w:r>
            <w:r w:rsidR="007F7784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étude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</w:t>
            </w:r>
          </w:p>
        </w:tc>
        <w:tc>
          <w:tcPr>
            <w:tcW w:w="46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B3A036" w14:textId="77777777" w:rsidR="00C75E02" w:rsidRPr="00B70CAF" w:rsidRDefault="00C75E02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15FE47" w14:textId="77777777" w:rsidR="00C75E02" w:rsidRPr="00B70CAF" w:rsidRDefault="00C75E02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57DEECC9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763D0E3" w14:textId="0ADC9A1F" w:rsidR="002A6470" w:rsidRPr="00B70CAF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Télétravail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5148D8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6438AC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3186C377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64E0CA" w14:textId="3BF406B0" w:rsidR="002A6470" w:rsidRPr="00B70CAF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Garderie pour les enfants fournie par le tribunal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04DFE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8CF458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44D1872A" w14:textId="77777777" w:rsidTr="007D66E1">
        <w:trPr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299F55" w14:textId="7E1493D3" w:rsidR="002A6470" w:rsidRPr="00B70CAF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Voiture de fonction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D2699B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A1E1A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4465EAEA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5E5EECC" w14:textId="1F90D453" w:rsidR="00DC7B0E" w:rsidRPr="00B70CAF" w:rsidRDefault="007F7784" w:rsidP="007D66E1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Téléphone, ordinateur portable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6BD76" w14:textId="77777777" w:rsidR="00DC7B0E" w:rsidRPr="00B70CAF" w:rsidRDefault="00DC7B0E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F17ED" w14:textId="77777777" w:rsidR="00DC7B0E" w:rsidRPr="00B70CAF" w:rsidRDefault="00DC7B0E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164D2233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60A6BF5" w14:textId="7FEC9925" w:rsidR="002A6470" w:rsidRPr="00B70CAF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Cours de langues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DC8546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19E26" w14:textId="77777777" w:rsidR="002A6470" w:rsidRPr="00B70CAF" w:rsidRDefault="002A6470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57E3AE02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D01A681" w14:textId="75299C64" w:rsidR="00B746EF" w:rsidRPr="007F7784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 w:rsidRPr="007F7784"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 xml:space="preserve">Autres </w:t>
            </w: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>formations</w:t>
            </w:r>
          </w:p>
        </w:tc>
        <w:tc>
          <w:tcPr>
            <w:tcW w:w="46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5D749C" w14:textId="77777777" w:rsidR="00B746EF" w:rsidRPr="00B70CAF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F6508" w14:textId="77777777" w:rsidR="00B746EF" w:rsidRPr="00B70CAF" w:rsidRDefault="00B746EF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29CE98B6" w14:textId="77777777" w:rsidTr="007D66E1">
        <w:trPr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EF014A4" w14:textId="6A7200F3" w:rsidR="00C1005F" w:rsidRPr="00B70CAF" w:rsidRDefault="007F7784" w:rsidP="006301F8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Suppléments de salaire pour cause d’incompatibilités ou d’interdits</w:t>
            </w:r>
            <w:r w:rsidR="008F2011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concernant d’autres postes/activités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4BDEF" w14:textId="77777777" w:rsidR="00C1005F" w:rsidRPr="00B70CAF" w:rsidRDefault="00C1005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073D7C" w14:textId="77777777" w:rsidR="00C1005F" w:rsidRPr="00B70CAF" w:rsidRDefault="00C1005F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7F7784" w:rsidRPr="00B70CAF" w14:paraId="5655FDEE" w14:textId="77777777" w:rsidTr="007D6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C41DF84" w14:textId="55833D88" w:rsidR="002A6470" w:rsidRPr="00B70CAF" w:rsidRDefault="007F7784" w:rsidP="00082F75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Autres</w:t>
            </w:r>
            <w:r w:rsidR="002A6470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 (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merci de préciser</w:t>
            </w:r>
            <w:r w:rsidR="002A6470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)</w:t>
            </w: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 </w:t>
            </w:r>
            <w:r w:rsidR="002A6470" w:rsidRPr="00B70CAF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:</w:t>
            </w:r>
          </w:p>
        </w:tc>
        <w:tc>
          <w:tcPr>
            <w:tcW w:w="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87F54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A99214" w14:textId="77777777" w:rsidR="002A6470" w:rsidRPr="00B70CAF" w:rsidRDefault="002A6470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</w:tbl>
    <w:p w14:paraId="249D499F" w14:textId="7296E5FC" w:rsidR="000306B2" w:rsidRPr="00360088" w:rsidRDefault="00CE6A7C" w:rsidP="00D456F8">
      <w:pPr>
        <w:pStyle w:val="ListParagraph"/>
        <w:numPr>
          <w:ilvl w:val="1"/>
          <w:numId w:val="1"/>
        </w:numPr>
        <w:spacing w:before="120"/>
        <w:ind w:left="788" w:hanging="431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Les avantages dont bénéficient les juges sont-ils équivalents à ceux des agents du secteur public en général ou sont-ils spécifiques aux juges ?</w:t>
      </w:r>
    </w:p>
    <w:p w14:paraId="0DD726B7" w14:textId="495001F1" w:rsidR="00606DCB" w:rsidRPr="00360088" w:rsidRDefault="00CE6A7C" w:rsidP="00D456F8">
      <w:pPr>
        <w:pStyle w:val="ListParagraph"/>
        <w:numPr>
          <w:ilvl w:val="1"/>
          <w:numId w:val="1"/>
        </w:numPr>
        <w:spacing w:before="120"/>
        <w:ind w:left="788" w:hanging="431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Existe-t-il un débat public autour de ces questions ? Certains de ces avantages sont-ils considérés comme une utilisation inappropriée d</w:t>
      </w:r>
      <w:r w:rsidR="008F2011" w:rsidRPr="00360088">
        <w:rPr>
          <w:b/>
          <w:bCs/>
          <w:lang w:val="fr-FR"/>
        </w:rPr>
        <w:t>es deniers</w:t>
      </w:r>
      <w:r w:rsidRPr="00360088">
        <w:rPr>
          <w:b/>
          <w:bCs/>
          <w:lang w:val="fr-FR"/>
        </w:rPr>
        <w:t xml:space="preserve"> public</w:t>
      </w:r>
      <w:r w:rsidR="008F2011" w:rsidRPr="00360088">
        <w:rPr>
          <w:b/>
          <w:bCs/>
          <w:lang w:val="fr-FR"/>
        </w:rPr>
        <w:t>s</w:t>
      </w:r>
      <w:r w:rsidRPr="00360088">
        <w:rPr>
          <w:b/>
          <w:bCs/>
          <w:lang w:val="fr-FR"/>
        </w:rPr>
        <w:t> ?</w:t>
      </w:r>
      <w:r w:rsidR="0082634C" w:rsidRPr="00360088">
        <w:rPr>
          <w:b/>
          <w:bCs/>
          <w:lang w:val="fr-FR"/>
        </w:rPr>
        <w:t xml:space="preserve"> </w:t>
      </w:r>
    </w:p>
    <w:p w14:paraId="20D036A0" w14:textId="77777777" w:rsidR="0082634C" w:rsidRPr="00B70CAF" w:rsidRDefault="0082634C" w:rsidP="0082634C">
      <w:pPr>
        <w:pStyle w:val="ListParagraph"/>
        <w:ind w:left="792"/>
        <w:jc w:val="both"/>
        <w:rPr>
          <w:lang w:val="fr-FR"/>
        </w:rPr>
      </w:pPr>
    </w:p>
    <w:p w14:paraId="697FF328" w14:textId="5C947007" w:rsidR="00606DCB" w:rsidRPr="00B70CAF" w:rsidRDefault="00CE6A7C" w:rsidP="00606DCB">
      <w:pPr>
        <w:pStyle w:val="ListParagraph"/>
        <w:numPr>
          <w:ilvl w:val="0"/>
          <w:numId w:val="1"/>
        </w:numPr>
        <w:spacing w:line="256" w:lineRule="auto"/>
        <w:rPr>
          <w:b/>
          <w:bCs/>
          <w:lang w:val="fr-FR"/>
        </w:rPr>
      </w:pPr>
      <w:r>
        <w:rPr>
          <w:b/>
          <w:bCs/>
          <w:lang w:val="fr-FR"/>
        </w:rPr>
        <w:t>Garanties, santé et sécurité sociale</w:t>
      </w:r>
    </w:p>
    <w:p w14:paraId="6CA02FA1" w14:textId="2794EB80" w:rsidR="00606DCB" w:rsidRPr="00360088" w:rsidRDefault="00CE6A7C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La contribution des juges au système de santé et de sécurité sociale est-elle équivalente à celle des autres, en termes de pourcentage du salaire ? Leurs contributions au système de santé et de sécurité sociale sont-elles calculées sur la totalité de leur rémunération ?</w:t>
      </w:r>
    </w:p>
    <w:p w14:paraId="5850151E" w14:textId="23DA97BC" w:rsidR="00606DC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Décrivez le système de congés maternels/paternels/parentaux dans votre pays. Les juges </w:t>
      </w:r>
      <w:r w:rsidR="006B0F59" w:rsidRPr="00360088">
        <w:rPr>
          <w:b/>
          <w:bCs/>
          <w:lang w:val="fr-FR"/>
        </w:rPr>
        <w:t>o</w:t>
      </w:r>
      <w:r w:rsidRPr="00360088">
        <w:rPr>
          <w:b/>
          <w:bCs/>
          <w:lang w:val="fr-FR"/>
        </w:rPr>
        <w:t>nt-ils des avantages/désavantages particuliers ?</w:t>
      </w:r>
    </w:p>
    <w:p w14:paraId="134713D1" w14:textId="61E3C548" w:rsidR="00606DC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Quel impact </w:t>
      </w:r>
      <w:r w:rsidR="00105C27" w:rsidRPr="00360088">
        <w:rPr>
          <w:b/>
          <w:bCs/>
          <w:lang w:val="fr-FR"/>
        </w:rPr>
        <w:t xml:space="preserve">peut avoir </w:t>
      </w:r>
      <w:r w:rsidRPr="00360088">
        <w:rPr>
          <w:b/>
          <w:bCs/>
          <w:lang w:val="fr-FR"/>
        </w:rPr>
        <w:t xml:space="preserve">le fait de profiter des avantages décrits au point 3.2 sur le développement de la carrière future des juges ? Un </w:t>
      </w:r>
      <w:r w:rsidR="006B0F59" w:rsidRPr="00360088">
        <w:rPr>
          <w:b/>
          <w:bCs/>
          <w:lang w:val="fr-FR"/>
        </w:rPr>
        <w:t>sexe</w:t>
      </w:r>
      <w:r w:rsidRPr="00360088">
        <w:rPr>
          <w:b/>
          <w:bCs/>
          <w:lang w:val="fr-FR"/>
        </w:rPr>
        <w:t xml:space="preserve"> est-il plus exposé que l’autre à cet impact (par exemple, est-il possible de retrouver automatiquement sa position antérieure ; la durée du congé a-t-elle une influence sur les calculs financiers ; profiter de ces avantages </w:t>
      </w:r>
      <w:r w:rsidRPr="00360088">
        <w:rPr>
          <w:b/>
          <w:bCs/>
          <w:lang w:val="fr-FR"/>
        </w:rPr>
        <w:lastRenderedPageBreak/>
        <w:t xml:space="preserve">peut-il </w:t>
      </w:r>
      <w:r w:rsidR="00FE1975">
        <w:rPr>
          <w:b/>
          <w:bCs/>
          <w:lang w:val="fr-FR"/>
        </w:rPr>
        <w:t>s</w:t>
      </w:r>
      <w:r w:rsidRPr="00360088">
        <w:rPr>
          <w:b/>
          <w:bCs/>
          <w:lang w:val="fr-FR"/>
        </w:rPr>
        <w:t>’avérer désavantageux pour un juge, en termes de développement de carrière)</w:t>
      </w:r>
      <w:r w:rsidR="006B0F59" w:rsidRPr="00360088">
        <w:rPr>
          <w:b/>
          <w:bCs/>
          <w:lang w:val="fr-FR"/>
        </w:rPr>
        <w:t> ?</w:t>
      </w:r>
      <w:r w:rsidRPr="00360088">
        <w:rPr>
          <w:b/>
          <w:bCs/>
          <w:lang w:val="fr-FR"/>
        </w:rPr>
        <w:t xml:space="preserve"> Merci de détailler.</w:t>
      </w:r>
    </w:p>
    <w:p w14:paraId="28CFEC54" w14:textId="1D8DDC41" w:rsidR="00606DC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Y a-t-il dans votre pays un âge </w:t>
      </w:r>
      <w:r w:rsidR="00D1573A">
        <w:rPr>
          <w:b/>
          <w:bCs/>
          <w:lang w:val="fr-FR"/>
        </w:rPr>
        <w:t>d</w:t>
      </w:r>
      <w:r w:rsidRPr="00360088">
        <w:rPr>
          <w:b/>
          <w:bCs/>
          <w:lang w:val="fr-FR"/>
        </w:rPr>
        <w:t xml:space="preserve">e départ </w:t>
      </w:r>
      <w:r w:rsidR="00D1573A" w:rsidRPr="00360088">
        <w:rPr>
          <w:b/>
          <w:bCs/>
          <w:lang w:val="fr-FR"/>
        </w:rPr>
        <w:t xml:space="preserve">obligatoire </w:t>
      </w:r>
      <w:r w:rsidR="00D1573A">
        <w:rPr>
          <w:b/>
          <w:bCs/>
          <w:lang w:val="fr-FR"/>
        </w:rPr>
        <w:t>à la</w:t>
      </w:r>
      <w:r w:rsidRPr="00360088">
        <w:rPr>
          <w:b/>
          <w:bCs/>
          <w:lang w:val="fr-FR"/>
        </w:rPr>
        <w:t xml:space="preserve"> retraite pour les juges </w:t>
      </w:r>
      <w:r w:rsidR="00606DCB" w:rsidRPr="00360088">
        <w:rPr>
          <w:b/>
          <w:bCs/>
          <w:lang w:val="fr-FR"/>
        </w:rPr>
        <w:t>?</w:t>
      </w:r>
    </w:p>
    <w:p w14:paraId="4BAA1D38" w14:textId="22253093" w:rsidR="00606DCB" w:rsidRPr="00360088" w:rsidRDefault="00EE7E21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En cas de réponse positive </w:t>
      </w:r>
      <w:r w:rsidR="00606DCB" w:rsidRPr="00360088">
        <w:rPr>
          <w:b/>
          <w:bCs/>
          <w:lang w:val="fr-FR"/>
        </w:rPr>
        <w:t>:</w:t>
      </w:r>
    </w:p>
    <w:p w14:paraId="582FCADA" w14:textId="05965CBF" w:rsidR="00606DCB" w:rsidRPr="00360088" w:rsidRDefault="00EE7E21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À quel âge les juges doivent-ils prendre leur retraite </w:t>
      </w:r>
      <w:r w:rsidR="00606DCB" w:rsidRPr="00360088">
        <w:rPr>
          <w:b/>
          <w:bCs/>
          <w:lang w:val="fr-FR"/>
        </w:rPr>
        <w:t xml:space="preserve">? </w:t>
      </w:r>
    </w:p>
    <w:p w14:paraId="3C860169" w14:textId="490B8920" w:rsidR="00606DCB" w:rsidRPr="00360088" w:rsidRDefault="00EE7E21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Quelles sont les conséquences de l’arrivée à l’âge légal de retraite (par exemple perte de statut judiciaire) ? Merci de détailler.</w:t>
      </w:r>
    </w:p>
    <w:p w14:paraId="7BF0E86A" w14:textId="66475D03" w:rsidR="00606DCB" w:rsidRPr="00360088" w:rsidRDefault="00C428B1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EE7E21" w:rsidRPr="00360088">
        <w:rPr>
          <w:b/>
          <w:bCs/>
          <w:lang w:val="fr-FR"/>
        </w:rPr>
        <w:t xml:space="preserve">L’âge de départ </w:t>
      </w:r>
      <w:r w:rsidR="007F42A2" w:rsidRPr="00360088">
        <w:rPr>
          <w:b/>
          <w:bCs/>
          <w:lang w:val="fr-FR"/>
        </w:rPr>
        <w:t xml:space="preserve">obligatoire </w:t>
      </w:r>
      <w:r w:rsidR="00EE7E21" w:rsidRPr="00360088">
        <w:rPr>
          <w:b/>
          <w:bCs/>
          <w:lang w:val="fr-FR"/>
        </w:rPr>
        <w:t>à la retraite fait-il l’objet d’un débat ?</w:t>
      </w:r>
    </w:p>
    <w:p w14:paraId="36A2ED69" w14:textId="07A07D3B" w:rsidR="004314C7" w:rsidRPr="00D603A9" w:rsidRDefault="006301F8" w:rsidP="00D603A9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EE7E21" w:rsidRPr="00360088">
        <w:rPr>
          <w:b/>
          <w:bCs/>
          <w:lang w:val="fr-FR"/>
        </w:rPr>
        <w:t xml:space="preserve">Y a-t-il un âge de départ </w:t>
      </w:r>
      <w:r w:rsidR="007F42A2" w:rsidRPr="00360088">
        <w:rPr>
          <w:b/>
          <w:bCs/>
          <w:lang w:val="fr-FR"/>
        </w:rPr>
        <w:t xml:space="preserve">obligatoire </w:t>
      </w:r>
      <w:r w:rsidR="00EE7E21" w:rsidRPr="00360088">
        <w:rPr>
          <w:b/>
          <w:bCs/>
          <w:lang w:val="fr-FR"/>
        </w:rPr>
        <w:t>à la retraite pour les juges de la Cour constitutionnelle (en cas d’existence d’une Cour constitutionnelle séparée) ?</w:t>
      </w:r>
    </w:p>
    <w:p w14:paraId="64113174" w14:textId="755D1E09" w:rsidR="00606DC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Avez-vous des juges « honoraires » </w:t>
      </w:r>
      <w:r w:rsidR="00AB48AB">
        <w:rPr>
          <w:b/>
          <w:bCs/>
          <w:lang w:val="fr-FR"/>
        </w:rPr>
        <w:t xml:space="preserve">ou « émérites » </w:t>
      </w:r>
      <w:r w:rsidRPr="00360088">
        <w:rPr>
          <w:b/>
          <w:bCs/>
          <w:lang w:val="fr-FR"/>
        </w:rPr>
        <w:t>(c’est-à-dire une législation permettant aux juges plus âgés de demeurer partiellement au sein du système judiciaire) ?</w:t>
      </w:r>
    </w:p>
    <w:p w14:paraId="02A30E3B" w14:textId="44DF897F" w:rsidR="00606DCB" w:rsidRPr="00360088" w:rsidRDefault="00C428B1" w:rsidP="00606DCB">
      <w:pPr>
        <w:pStyle w:val="ListParagraph"/>
        <w:numPr>
          <w:ilvl w:val="2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EE7E21" w:rsidRPr="00360088">
        <w:rPr>
          <w:b/>
          <w:bCs/>
          <w:lang w:val="fr-FR"/>
        </w:rPr>
        <w:t>En cas de réponse positive </w:t>
      </w:r>
      <w:r w:rsidR="00606DCB" w:rsidRPr="00360088">
        <w:rPr>
          <w:b/>
          <w:bCs/>
          <w:lang w:val="fr-FR"/>
        </w:rPr>
        <w:t>:</w:t>
      </w:r>
    </w:p>
    <w:p w14:paraId="44658DCD" w14:textId="695F03EF" w:rsidR="00606DCB" w:rsidRPr="00360088" w:rsidRDefault="00EE7E21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Décrivez le fonctionnement de ce système</w:t>
      </w:r>
      <w:r w:rsidR="00606DCB" w:rsidRPr="00360088">
        <w:rPr>
          <w:b/>
          <w:bCs/>
          <w:lang w:val="fr-FR"/>
        </w:rPr>
        <w:t>.</w:t>
      </w:r>
    </w:p>
    <w:p w14:paraId="06FDDD4D" w14:textId="0A5112CF" w:rsidR="00606DCB" w:rsidRPr="00360088" w:rsidRDefault="00EE7E21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est le système de rémunération ou autres avantages appliqué aux juges honoraires, en service et en</w:t>
      </w:r>
      <w:r w:rsidR="006B0F59" w:rsidRPr="00360088">
        <w:rPr>
          <w:b/>
          <w:bCs/>
          <w:lang w:val="fr-FR"/>
        </w:rPr>
        <w:t xml:space="preserve"> </w:t>
      </w:r>
      <w:r w:rsidRPr="00360088">
        <w:rPr>
          <w:b/>
          <w:bCs/>
          <w:lang w:val="fr-FR"/>
        </w:rPr>
        <w:t>dehors de l’exercice actif de leur charge ?</w:t>
      </w:r>
    </w:p>
    <w:p w14:paraId="541F85B3" w14:textId="030CABCD" w:rsidR="00606DCB" w:rsidRPr="00360088" w:rsidRDefault="00EE7E21" w:rsidP="00606DCB">
      <w:pPr>
        <w:pStyle w:val="ListParagraph"/>
        <w:numPr>
          <w:ilvl w:val="3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 système des juges honoraires fait-il l’objet d’un débat </w:t>
      </w:r>
      <w:r w:rsidR="00606DCB" w:rsidRPr="00360088">
        <w:rPr>
          <w:b/>
          <w:bCs/>
          <w:lang w:val="fr-FR"/>
        </w:rPr>
        <w:t>?</w:t>
      </w:r>
    </w:p>
    <w:p w14:paraId="5858FCBE" w14:textId="638E117D" w:rsidR="00606DC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Comment sont déterminées les pensions de retraite des juges ? Le calcul de leur montant suit-il des règles particulières ?</w:t>
      </w:r>
    </w:p>
    <w:p w14:paraId="21933C0C" w14:textId="4C79350B" w:rsidR="00606DC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Les juges bénéficient-ils d’avantages particuliers en termes de sécurité sociale ou d’assurance santé ?</w:t>
      </w:r>
    </w:p>
    <w:p w14:paraId="1FC212EE" w14:textId="6D7945AF" w:rsidR="00047A1B" w:rsidRPr="00360088" w:rsidRDefault="00EE7E21" w:rsidP="00606DCB">
      <w:pPr>
        <w:pStyle w:val="ListParagraph"/>
        <w:numPr>
          <w:ilvl w:val="1"/>
          <w:numId w:val="1"/>
        </w:numPr>
        <w:spacing w:line="25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budget</w:t>
      </w:r>
      <w:r w:rsidR="000A756E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venant s’ajouter au financement par le REFJ)</w:t>
      </w:r>
      <w:r w:rsidR="000A756E" w:rsidRPr="00360088">
        <w:rPr>
          <w:b/>
          <w:bCs/>
          <w:lang w:val="fr-FR"/>
        </w:rPr>
        <w:t xml:space="preserve"> </w:t>
      </w:r>
      <w:r w:rsidRPr="00360088">
        <w:rPr>
          <w:b/>
          <w:bCs/>
          <w:lang w:val="fr-FR"/>
        </w:rPr>
        <w:t>est consacré à la formation des juges </w:t>
      </w:r>
      <w:r w:rsidR="000A756E" w:rsidRPr="00360088">
        <w:rPr>
          <w:b/>
          <w:bCs/>
          <w:lang w:val="fr-FR"/>
        </w:rPr>
        <w:t>?</w:t>
      </w:r>
    </w:p>
    <w:p w14:paraId="1EAA290E" w14:textId="77777777" w:rsidR="00606DCB" w:rsidRPr="00B70CAF" w:rsidRDefault="00606DCB" w:rsidP="00606DCB">
      <w:pPr>
        <w:pStyle w:val="ListParagraph"/>
        <w:spacing w:line="256" w:lineRule="auto"/>
        <w:ind w:left="792"/>
        <w:jc w:val="both"/>
        <w:rPr>
          <w:lang w:val="fr-FR"/>
        </w:rPr>
      </w:pPr>
    </w:p>
    <w:p w14:paraId="39517904" w14:textId="61FA3508" w:rsidR="00137E33" w:rsidRPr="00360088" w:rsidRDefault="00EE7E21" w:rsidP="00137E33">
      <w:pPr>
        <w:pStyle w:val="ListParagraph"/>
        <w:numPr>
          <w:ilvl w:val="0"/>
          <w:numId w:val="1"/>
        </w:numPr>
        <w:rPr>
          <w:b/>
          <w:bCs/>
          <w:lang w:val="fr-FR"/>
        </w:rPr>
      </w:pPr>
      <w:r>
        <w:rPr>
          <w:b/>
          <w:bCs/>
          <w:lang w:val="fr-FR"/>
        </w:rPr>
        <w:t>Ob</w:t>
      </w:r>
      <w:r w:rsidRPr="00360088">
        <w:rPr>
          <w:b/>
          <w:bCs/>
          <w:lang w:val="fr-FR"/>
        </w:rPr>
        <w:t>ligations particulières d’un juge</w:t>
      </w:r>
    </w:p>
    <w:p w14:paraId="788CD3C7" w14:textId="77777777" w:rsidR="00F717DF" w:rsidRDefault="00EE7E21" w:rsidP="007D66E1">
      <w:pPr>
        <w:pStyle w:val="ListParagraph"/>
        <w:numPr>
          <w:ilvl w:val="1"/>
          <w:numId w:val="1"/>
        </w:numPr>
        <w:spacing w:after="0" w:line="240" w:lineRule="auto"/>
        <w:ind w:left="788" w:hanging="431"/>
        <w:contextualSpacing w:val="0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Quelles activités sont autorisées, partiellement autorisées ou interdites pour les juges ? </w:t>
      </w:r>
    </w:p>
    <w:p w14:paraId="7A216A7D" w14:textId="4DA564D1" w:rsidR="00DC7B0E" w:rsidRPr="00595F00" w:rsidRDefault="00EE7E21" w:rsidP="00595F00">
      <w:pPr>
        <w:spacing w:after="0" w:line="240" w:lineRule="auto"/>
        <w:jc w:val="both"/>
        <w:rPr>
          <w:b/>
          <w:bCs/>
          <w:lang w:val="fr-FR"/>
        </w:rPr>
      </w:pPr>
      <w:r w:rsidRPr="00595F00">
        <w:rPr>
          <w:b/>
          <w:bCs/>
          <w:lang w:val="fr-FR"/>
        </w:rPr>
        <w:t>Merci d’indiquer votre réponse par le signe « X ». Si la réponse est « partiellement aut</w:t>
      </w:r>
      <w:r w:rsidR="006B0F59" w:rsidRPr="00595F00">
        <w:rPr>
          <w:b/>
          <w:bCs/>
          <w:lang w:val="fr-FR"/>
        </w:rPr>
        <w:t>o</w:t>
      </w:r>
      <w:r w:rsidRPr="00595F00">
        <w:rPr>
          <w:b/>
          <w:bCs/>
          <w:lang w:val="fr-FR"/>
        </w:rPr>
        <w:t>risé</w:t>
      </w:r>
      <w:r w:rsidR="006B0F59" w:rsidRPr="00595F00">
        <w:rPr>
          <w:b/>
          <w:bCs/>
          <w:lang w:val="fr-FR"/>
        </w:rPr>
        <w:t>e</w:t>
      </w:r>
      <w:r w:rsidRPr="00595F00">
        <w:rPr>
          <w:b/>
          <w:bCs/>
          <w:lang w:val="fr-FR"/>
        </w:rPr>
        <w:t> », merci de détailler</w:t>
      </w:r>
      <w:r w:rsidR="00DC7B0E" w:rsidRPr="00595F00">
        <w:rPr>
          <w:b/>
          <w:bCs/>
          <w:lang w:val="fr-FR"/>
        </w:rPr>
        <w:t>.</w:t>
      </w:r>
    </w:p>
    <w:tbl>
      <w:tblPr>
        <w:tblStyle w:val="ListTable7Colorful"/>
        <w:tblpPr w:leftFromText="142" w:rightFromText="142" w:vertAnchor="page" w:horzAnchor="margin" w:tblpY="9471"/>
        <w:tblW w:w="52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7"/>
        <w:gridCol w:w="1011"/>
        <w:gridCol w:w="1339"/>
        <w:gridCol w:w="931"/>
      </w:tblGrid>
      <w:tr w:rsidR="00D603A9" w:rsidRPr="00360088" w14:paraId="2F59A931" w14:textId="77777777" w:rsidTr="00D603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E397C6A" w14:textId="77777777" w:rsidR="00D603A9" w:rsidRPr="00F352C3" w:rsidRDefault="00D603A9" w:rsidP="00D603A9">
            <w:pPr>
              <w:keepNext/>
              <w:widowControl w:val="0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Activités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66A941" w14:textId="77777777" w:rsidR="00D603A9" w:rsidRPr="00F352C3" w:rsidRDefault="00D603A9" w:rsidP="00D60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Autorisée</w:t>
            </w: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77E5AC" w14:textId="77777777" w:rsidR="00D603A9" w:rsidRPr="00F352C3" w:rsidRDefault="00D603A9" w:rsidP="00D60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Partiellement autorisée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B2E722" w14:textId="77777777" w:rsidR="00D603A9" w:rsidRPr="00F352C3" w:rsidRDefault="00D603A9" w:rsidP="00D603A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Interdite</w:t>
            </w:r>
          </w:p>
        </w:tc>
      </w:tr>
      <w:tr w:rsidR="00D603A9" w:rsidRPr="00360088" w14:paraId="3512564D" w14:textId="77777777" w:rsidTr="00D6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DBC8C3A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>Emploi supplémentaire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C5539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3E68D7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F48C09E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</w:tr>
      <w:tr w:rsidR="00D603A9" w:rsidRPr="00360088" w14:paraId="2C5C1C8B" w14:textId="77777777" w:rsidTr="00D603A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B8586D7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>Participation au conseil d’administration ou au conseil de surveillance</w:t>
            </w: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br/>
              <w:t>d’entreprises commerciales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92A8CA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162408C" w14:textId="77777777" w:rsidR="00D603A9" w:rsidRPr="00360088" w:rsidRDefault="00D603A9" w:rsidP="00D603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531BBE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</w:tr>
      <w:tr w:rsidR="00D603A9" w:rsidRPr="00360088" w14:paraId="245F0C3F" w14:textId="77777777" w:rsidTr="00D6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4BFD623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cstheme="minorHAnsi"/>
                <w:kern w:val="0"/>
                <w:sz w:val="20"/>
                <w:szCs w:val="20"/>
                <w:lang w:val="fr-FR"/>
                <w14:ligatures w14:val="none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>Possibilité d’auto-entrepreneuriat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86EE28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6B4E86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023EC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1CBCD112" w14:textId="77777777" w:rsidTr="00D603A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659BEF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>Appartenance au gouvernement</w:t>
            </w:r>
          </w:p>
        </w:tc>
        <w:tc>
          <w:tcPr>
            <w:tcW w:w="530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1C11DD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E636CF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D16FDA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</w:tr>
      <w:tr w:rsidR="00D603A9" w:rsidRPr="00360088" w14:paraId="78CE4309" w14:textId="77777777" w:rsidTr="00D6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2AD4EF9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 xml:space="preserve">Appartenance aux organes législatifs (y compris comités et commissions) 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B591C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658EB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9E0FBC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color w:val="auto"/>
                <w:sz w:val="20"/>
                <w:szCs w:val="20"/>
                <w:lang w:val="fr-FR"/>
              </w:rPr>
            </w:pPr>
          </w:p>
        </w:tc>
      </w:tr>
      <w:tr w:rsidR="00D603A9" w:rsidRPr="00360088" w14:paraId="5DD91BF5" w14:textId="77777777" w:rsidTr="00D603A9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BEEA2C3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 xml:space="preserve">Participation politique (y compris autorités régionales/locales) 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6DB4C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7BEE3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2E0DC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25D5E069" w14:textId="77777777" w:rsidTr="00D6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6D125D25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Appartenance à des syndicats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C37CB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45618E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BC5355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04D748A5" w14:textId="77777777" w:rsidTr="00D603A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0EF1CA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>Participation à une grève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E9D75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CB91DB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5E3E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1A50F634" w14:textId="77777777" w:rsidTr="00D6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20A866E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cstheme="minorHAnsi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Activités artistiques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D41568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B4622C0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B01636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14A2D5A5" w14:textId="77777777" w:rsidTr="00D603A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2F01E18A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</w:pPr>
            <w:r w:rsidRPr="00F352C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Activités sportives professionnelles</w:t>
            </w:r>
          </w:p>
        </w:tc>
        <w:tc>
          <w:tcPr>
            <w:tcW w:w="53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362AE5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188323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6B9794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09D05BB1" w14:textId="77777777" w:rsidTr="00D603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45EADC5B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</w:pPr>
            <w:r w:rsidRPr="00F352C3">
              <w:rPr>
                <w:rFonts w:asciiTheme="minorHAnsi" w:hAnsiTheme="minorHAnsi" w:cstheme="minorHAnsi"/>
                <w:kern w:val="0"/>
                <w:sz w:val="20"/>
                <w:szCs w:val="20"/>
                <w:lang w:val="fr-FR"/>
                <w14:ligatures w14:val="none"/>
              </w:rPr>
              <w:t>Publications ou conférences</w:t>
            </w:r>
          </w:p>
        </w:tc>
        <w:tc>
          <w:tcPr>
            <w:tcW w:w="53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4587D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38D8C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AA2168" w14:textId="77777777" w:rsidR="00D603A9" w:rsidRPr="00360088" w:rsidRDefault="00D603A9" w:rsidP="00D603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  <w:tr w:rsidR="00D603A9" w:rsidRPr="00360088" w14:paraId="4BE0376C" w14:textId="77777777" w:rsidTr="00D603A9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8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195A3EAA" w14:textId="77777777" w:rsidR="00D603A9" w:rsidRPr="00F352C3" w:rsidRDefault="00D603A9" w:rsidP="00D603A9">
            <w:pPr>
              <w:keepNext/>
              <w:widowControl w:val="0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 w:rsidRPr="00F352C3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Autres (merci de détailler) :</w:t>
            </w:r>
          </w:p>
        </w:tc>
        <w:tc>
          <w:tcPr>
            <w:tcW w:w="5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2BD6D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7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C9C4E1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92D41C" w14:textId="77777777" w:rsidR="00D603A9" w:rsidRPr="00360088" w:rsidRDefault="00D603A9" w:rsidP="00D603A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b/>
                <w:bCs/>
                <w:sz w:val="20"/>
                <w:szCs w:val="20"/>
                <w:lang w:val="fr-FR"/>
              </w:rPr>
            </w:pPr>
          </w:p>
        </w:tc>
      </w:tr>
    </w:tbl>
    <w:p w14:paraId="3A69B7FB" w14:textId="77777777" w:rsidR="00D603A9" w:rsidRPr="00175007" w:rsidRDefault="00D603A9" w:rsidP="00175007">
      <w:pPr>
        <w:spacing w:after="0" w:line="240" w:lineRule="auto"/>
        <w:jc w:val="both"/>
        <w:rPr>
          <w:b/>
          <w:bCs/>
          <w:lang w:val="fr-FR"/>
        </w:rPr>
      </w:pPr>
    </w:p>
    <w:p w14:paraId="5F0E73E8" w14:textId="59F93544" w:rsidR="00137E33" w:rsidRPr="00360088" w:rsidRDefault="00184DEC" w:rsidP="00687135">
      <w:pPr>
        <w:pStyle w:val="ListParagraph"/>
        <w:numPr>
          <w:ilvl w:val="1"/>
          <w:numId w:val="1"/>
        </w:numPr>
        <w:spacing w:before="120"/>
        <w:ind w:left="788" w:hanging="431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Les activités considérées comme compromettant la dignité de la fonction de juge sont-elles spécifiées de façon claire (dans le code déontologique, la jurisprudence ou la législation) ? Merci de détailler</w:t>
      </w:r>
      <w:r w:rsidR="002A0EA7" w:rsidRPr="00360088">
        <w:rPr>
          <w:b/>
          <w:bCs/>
          <w:lang w:val="fr-FR"/>
        </w:rPr>
        <w:t>.</w:t>
      </w:r>
    </w:p>
    <w:p w14:paraId="48817933" w14:textId="4A05C464" w:rsidR="00137E33" w:rsidRPr="00360088" w:rsidRDefault="002A347A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Les juges doivent-ils </w:t>
      </w:r>
      <w:r w:rsidR="000902CA">
        <w:rPr>
          <w:b/>
          <w:bCs/>
          <w:lang w:val="fr-FR"/>
        </w:rPr>
        <w:t xml:space="preserve">obtenir une habilitation </w:t>
      </w:r>
      <w:r w:rsidRPr="00360088">
        <w:rPr>
          <w:b/>
          <w:bCs/>
          <w:lang w:val="fr-FR"/>
        </w:rPr>
        <w:t>de sécurité ?</w:t>
      </w:r>
    </w:p>
    <w:p w14:paraId="2A138547" w14:textId="700D70F0" w:rsidR="00137E33" w:rsidRPr="00360088" w:rsidRDefault="002A347A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lastRenderedPageBreak/>
        <w:t>Les juges sont-ils obligés d’accepter leur inclusion dans des listes spéciales (par exemple appartenance passée ou présente à une organisation politique) ? Si la réponse est oui, merci de détailler.</w:t>
      </w:r>
    </w:p>
    <w:p w14:paraId="49ECAFE9" w14:textId="1159CD52" w:rsidR="00137E33" w:rsidRPr="00360088" w:rsidRDefault="002A347A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Les juges sont-ils tenus de fournir des informations détaillées sur leur patrimoine ? Ces informations sur le patrimoine des juges sont-elles publiques ou accessibles sur demande ?</w:t>
      </w:r>
    </w:p>
    <w:p w14:paraId="2AF90ED1" w14:textId="5A4C0F56" w:rsidR="00515577" w:rsidRPr="00360088" w:rsidRDefault="002A347A" w:rsidP="00137E33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Existe</w:t>
      </w:r>
      <w:r w:rsidR="00457404">
        <w:rPr>
          <w:b/>
          <w:bCs/>
          <w:lang w:val="fr-FR"/>
        </w:rPr>
        <w:t>n</w:t>
      </w:r>
      <w:r w:rsidRPr="00360088">
        <w:rPr>
          <w:b/>
          <w:bCs/>
          <w:lang w:val="fr-FR"/>
        </w:rPr>
        <w:t>t-il</w:t>
      </w:r>
      <w:r w:rsidR="00457404">
        <w:rPr>
          <w:b/>
          <w:bCs/>
          <w:lang w:val="fr-FR"/>
        </w:rPr>
        <w:t>s</w:t>
      </w:r>
      <w:r w:rsidRPr="00360088">
        <w:rPr>
          <w:b/>
          <w:bCs/>
          <w:lang w:val="fr-FR"/>
        </w:rPr>
        <w:t xml:space="preserve"> d’autres déclarations obligatoires/communications de renseignements personnels pour les juges, par exemple concernant la compatibilité des intérêts publics et privés ? Ces déclarations sont-elles publiées ?</w:t>
      </w:r>
    </w:p>
    <w:p w14:paraId="422544DE" w14:textId="43B9390E" w:rsidR="00DC7B0E" w:rsidRPr="00360088" w:rsidRDefault="002A347A" w:rsidP="00DC7B0E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Un juge doit-il se soumettre à une évaluation de ses performances (respect des délais, nombre d’affaires résolues, respect de la jurisprudence des cours supérieures, etc.) ? Merci de détailler.</w:t>
      </w:r>
      <w:r w:rsidR="008C2798" w:rsidRPr="00360088">
        <w:rPr>
          <w:b/>
          <w:bCs/>
          <w:lang w:val="fr-FR"/>
        </w:rPr>
        <w:t xml:space="preserve"> </w:t>
      </w:r>
    </w:p>
    <w:p w14:paraId="074E1092" w14:textId="069236CF" w:rsidR="00A418F9" w:rsidRPr="00360088" w:rsidRDefault="00602C00" w:rsidP="00DC7B0E">
      <w:pPr>
        <w:pStyle w:val="ListParagraph"/>
        <w:numPr>
          <w:ilvl w:val="2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2A347A" w:rsidRPr="00360088">
        <w:rPr>
          <w:b/>
          <w:bCs/>
          <w:lang w:val="fr-FR"/>
        </w:rPr>
        <w:t>L’attitude des juges vis-à-vis des procédures d’évaluation est-elle positive (c’est-à-dire contribuant à l’attractivité de la profession) ou négative (donc diminuant cette attractivité) ?</w:t>
      </w:r>
    </w:p>
    <w:p w14:paraId="6185005E" w14:textId="4669F3EF" w:rsidR="00A66A35" w:rsidRPr="00360088" w:rsidRDefault="002A347A" w:rsidP="00A66A35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rFonts w:eastAsia="Times New Roman"/>
          <w:b/>
          <w:bCs/>
          <w:lang w:val="fr-FR"/>
        </w:rPr>
        <w:t>Les juges se voient-ils attribuer des responsabilités particulières dans le processus électoral de votre pays ?</w:t>
      </w:r>
    </w:p>
    <w:p w14:paraId="15E4541F" w14:textId="0519D218" w:rsidR="006F74B4" w:rsidRPr="00360088" w:rsidRDefault="002A347A" w:rsidP="00A66A35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Existe-t-il un débat dans votre pays concernant des </w:t>
      </w:r>
      <w:r w:rsidR="004919DD">
        <w:rPr>
          <w:b/>
          <w:bCs/>
          <w:lang w:val="fr-FR"/>
        </w:rPr>
        <w:t>modifications aux</w:t>
      </w:r>
      <w:r w:rsidRPr="00360088">
        <w:rPr>
          <w:b/>
          <w:bCs/>
          <w:lang w:val="fr-FR"/>
        </w:rPr>
        <w:t xml:space="preserve"> règles concernant ces questions ?</w:t>
      </w:r>
    </w:p>
    <w:p w14:paraId="4638AE70" w14:textId="77777777" w:rsidR="00A24976" w:rsidRPr="00B70CAF" w:rsidRDefault="00A24976" w:rsidP="00A24976">
      <w:pPr>
        <w:pStyle w:val="ListParagraph"/>
        <w:ind w:left="792"/>
        <w:jc w:val="both"/>
        <w:rPr>
          <w:lang w:val="fr-FR"/>
        </w:rPr>
      </w:pPr>
    </w:p>
    <w:p w14:paraId="0660633D" w14:textId="35933963" w:rsidR="00E85126" w:rsidRPr="00B70CAF" w:rsidRDefault="002A347A" w:rsidP="00E85126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fr-FR"/>
        </w:rPr>
      </w:pPr>
      <w:r>
        <w:rPr>
          <w:b/>
          <w:bCs/>
          <w:lang w:val="fr-FR"/>
        </w:rPr>
        <w:t>Procédures de sélection et de promotion</w:t>
      </w:r>
    </w:p>
    <w:p w14:paraId="4AC0727E" w14:textId="296A1F46" w:rsidR="002A0EA7" w:rsidRPr="00360088" w:rsidRDefault="002A347A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Quelles sont les conditions légales pour devenir juge ? Merci de détailler</w:t>
      </w:r>
      <w:r w:rsidR="002A0EA7" w:rsidRPr="00360088">
        <w:rPr>
          <w:b/>
          <w:bCs/>
          <w:lang w:val="fr-FR"/>
        </w:rPr>
        <w:t>.</w:t>
      </w:r>
    </w:p>
    <w:p w14:paraId="18F358D1" w14:textId="4A9DA46E" w:rsidR="002A0EA7" w:rsidRPr="00360088" w:rsidRDefault="002A347A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Quelle est la procédure pour devenir juge (par exemple </w:t>
      </w:r>
      <w:r w:rsidR="000D79A4">
        <w:rPr>
          <w:b/>
          <w:bCs/>
          <w:lang w:val="fr-FR"/>
        </w:rPr>
        <w:t>réussi</w:t>
      </w:r>
      <w:r w:rsidRPr="00360088">
        <w:rPr>
          <w:b/>
          <w:bCs/>
          <w:lang w:val="fr-FR"/>
        </w:rPr>
        <w:t>r un examen judiciaire, qui propose les candidats, qui approuve les candidats) ? Merci de détailler.</w:t>
      </w:r>
    </w:p>
    <w:p w14:paraId="5560B3A6" w14:textId="1CB9F544" w:rsidR="0031785F" w:rsidRPr="00360088" w:rsidRDefault="002A347A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Quel est l’âge moyen des juges nouvellement élus/nommés ? A-t-il </w:t>
      </w:r>
      <w:r w:rsidR="000D79A4">
        <w:rPr>
          <w:b/>
          <w:bCs/>
          <w:lang w:val="fr-FR"/>
        </w:rPr>
        <w:t>évolu</w:t>
      </w:r>
      <w:r w:rsidRPr="00360088">
        <w:rPr>
          <w:b/>
          <w:bCs/>
          <w:lang w:val="fr-FR"/>
        </w:rPr>
        <w:t>é depuis 5 ou 10 ans ?</w:t>
      </w:r>
    </w:p>
    <w:p w14:paraId="72C101CD" w14:textId="2502FB5C" w:rsidR="00452C90" w:rsidRPr="00360088" w:rsidRDefault="002A347A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Les juges quittent-ils leur fonction plus fréquemment qu</w:t>
      </w:r>
      <w:r w:rsidR="000F3138">
        <w:rPr>
          <w:b/>
          <w:bCs/>
          <w:lang w:val="fr-FR"/>
        </w:rPr>
        <w:t>’au cours d</w:t>
      </w:r>
      <w:r w:rsidRPr="00360088">
        <w:rPr>
          <w:b/>
          <w:bCs/>
          <w:lang w:val="fr-FR"/>
        </w:rPr>
        <w:t>es dernières années ?</w:t>
      </w:r>
    </w:p>
    <w:p w14:paraId="43FA36C4" w14:textId="77ADB7FF" w:rsidR="00E85126" w:rsidRPr="00360088" w:rsidRDefault="002A347A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Merci d’indiquer</w:t>
      </w:r>
      <w:r w:rsidR="00E85126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« </w:t>
      </w:r>
      <w:r w:rsidR="00E85126" w:rsidRPr="00360088">
        <w:rPr>
          <w:b/>
          <w:bCs/>
          <w:lang w:val="fr-FR"/>
        </w:rPr>
        <w:t>X</w:t>
      </w:r>
      <w:r w:rsidRPr="00360088">
        <w:rPr>
          <w:b/>
          <w:bCs/>
          <w:lang w:val="fr-FR"/>
        </w:rPr>
        <w:t> »</w:t>
      </w:r>
      <w:r w:rsidR="00E85126" w:rsidRPr="00360088">
        <w:rPr>
          <w:b/>
          <w:bCs/>
          <w:lang w:val="fr-FR"/>
        </w:rPr>
        <w:t xml:space="preserve">) </w:t>
      </w:r>
      <w:r w:rsidRPr="00360088">
        <w:rPr>
          <w:b/>
          <w:bCs/>
          <w:lang w:val="fr-FR"/>
        </w:rPr>
        <w:t>si la procédure de sélection</w:t>
      </w:r>
      <w:r w:rsidR="00E85126" w:rsidRPr="00360088">
        <w:rPr>
          <w:b/>
          <w:bCs/>
          <w:lang w:val="fr-FR"/>
        </w:rPr>
        <w:t xml:space="preserve"> </w:t>
      </w:r>
      <w:r w:rsidRPr="00360088">
        <w:rPr>
          <w:b/>
          <w:bCs/>
          <w:lang w:val="fr-FR"/>
        </w:rPr>
        <w:t>pour devenir juge est :</w:t>
      </w:r>
    </w:p>
    <w:tbl>
      <w:tblPr>
        <w:tblStyle w:val="ListTable7Colorful"/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7"/>
        <w:gridCol w:w="970"/>
        <w:gridCol w:w="982"/>
        <w:gridCol w:w="1198"/>
      </w:tblGrid>
      <w:tr w:rsidR="00D57FD2" w:rsidRPr="00B70CAF" w14:paraId="19801B5A" w14:textId="4A5F6F64" w:rsidTr="00CA54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7113D8C3" w14:textId="77777777" w:rsidR="00D57FD2" w:rsidRPr="00B70CAF" w:rsidRDefault="00D57FD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6FAFB2" w14:textId="7039647A" w:rsidR="00D57FD2" w:rsidRPr="00B70CAF" w:rsidRDefault="002A347A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Oui</w:t>
            </w: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40712" w14:textId="64D08585" w:rsidR="00D57FD2" w:rsidRPr="00B70CAF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No</w:t>
            </w:r>
            <w:r w:rsidR="002A347A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n</w:t>
            </w: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11A68" w14:textId="20B83BE5" w:rsidR="00D57FD2" w:rsidRPr="00B70CAF" w:rsidRDefault="00C25BEB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>Indéterminé</w:t>
            </w:r>
          </w:p>
        </w:tc>
      </w:tr>
      <w:tr w:rsidR="00D57FD2" w:rsidRPr="00B70CAF" w14:paraId="0F3C0273" w14:textId="1A53E97F" w:rsidTr="00CA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62A60F0E" w14:textId="50602FF3" w:rsidR="00D57FD2" w:rsidRPr="00B70CAF" w:rsidRDefault="00D420B5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Rapide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79C713E" w14:textId="77777777" w:rsidR="00D57FD2" w:rsidRPr="00B70CAF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0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B1133D" w14:textId="77777777" w:rsidR="00D57FD2" w:rsidRPr="00B70CAF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317C30" w14:textId="77777777" w:rsidR="00D57FD2" w:rsidRPr="00B70CAF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D57FD2" w:rsidRPr="00B70CAF" w14:paraId="7647E3B6" w14:textId="45B91149" w:rsidTr="00CA54D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0C36AFDA" w14:textId="6C1167FB" w:rsidR="00D57FD2" w:rsidRPr="00B70CAF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Transparent</w:t>
            </w:r>
            <w:r w:rsidR="002A347A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e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(i.e</w:t>
            </w:r>
            <w:r w:rsidR="002A347A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.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 w:rsidR="002A347A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application de critères légaux objectifs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)</w:t>
            </w:r>
          </w:p>
        </w:tc>
        <w:tc>
          <w:tcPr>
            <w:tcW w:w="594" w:type="pct"/>
            <w:tcBorders>
              <w:left w:val="single" w:sz="12" w:space="0" w:color="auto"/>
              <w:right w:val="single" w:sz="12" w:space="0" w:color="auto"/>
            </w:tcBorders>
          </w:tcPr>
          <w:p w14:paraId="2904E8E8" w14:textId="77777777" w:rsidR="00D57FD2" w:rsidRPr="00B70CAF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01" w:type="pct"/>
            <w:tcBorders>
              <w:left w:val="single" w:sz="12" w:space="0" w:color="auto"/>
              <w:right w:val="single" w:sz="12" w:space="0" w:color="auto"/>
            </w:tcBorders>
          </w:tcPr>
          <w:p w14:paraId="3C67D44A" w14:textId="77777777" w:rsidR="00D57FD2" w:rsidRPr="00B70CAF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76" w:type="pct"/>
            <w:tcBorders>
              <w:left w:val="single" w:sz="12" w:space="0" w:color="auto"/>
              <w:right w:val="single" w:sz="12" w:space="0" w:color="auto"/>
            </w:tcBorders>
          </w:tcPr>
          <w:p w14:paraId="67D8F1A9" w14:textId="77777777" w:rsidR="00D57FD2" w:rsidRPr="00B70CAF" w:rsidRDefault="00D57FD2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D57FD2" w:rsidRPr="00B70CAF" w14:paraId="7DD0F9DC" w14:textId="14D620FD" w:rsidTr="00CA54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3EF7AC3C" w14:textId="29AF09A5" w:rsidR="00D57FD2" w:rsidRPr="00B70CAF" w:rsidRDefault="0009305D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Unifi</w:t>
            </w:r>
            <w:r w:rsidR="002A347A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ée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(i.e. </w:t>
            </w:r>
            <w:r w:rsidR="002A347A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identique pour tous les tribunaux et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instances)</w:t>
            </w:r>
          </w:p>
        </w:tc>
        <w:tc>
          <w:tcPr>
            <w:tcW w:w="59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76206" w14:textId="77777777" w:rsidR="00D57FD2" w:rsidRPr="00B70CAF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0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84D0E" w14:textId="77777777" w:rsidR="00D57FD2" w:rsidRPr="00B70CAF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C54C3" w14:textId="77777777" w:rsidR="00D57FD2" w:rsidRPr="00B70CAF" w:rsidRDefault="00D57FD2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</w:tbl>
    <w:p w14:paraId="550E5CB7" w14:textId="13B343A1" w:rsidR="00E85126" w:rsidRPr="00360088" w:rsidRDefault="00E85126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C25BEB" w:rsidRPr="00360088">
        <w:rPr>
          <w:b/>
          <w:bCs/>
          <w:lang w:val="fr-FR"/>
        </w:rPr>
        <w:t>Si la réponse est « Non » ou « Indéterminé », merci de détailler les raisons de votre réponse.</w:t>
      </w:r>
    </w:p>
    <w:p w14:paraId="1F2FE9F6" w14:textId="723A7A7A" w:rsidR="00924F1D" w:rsidRPr="00360088" w:rsidRDefault="00C25BEB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La procédure de sélection assure-t-elle la diversité des </w:t>
      </w:r>
      <w:r w:rsidR="00CB70C8" w:rsidRPr="00360088">
        <w:rPr>
          <w:b/>
          <w:bCs/>
          <w:lang w:val="fr-FR"/>
        </w:rPr>
        <w:t>:</w:t>
      </w:r>
    </w:p>
    <w:p w14:paraId="2307B29F" w14:textId="7A3B6EAB" w:rsidR="00E85126" w:rsidRPr="00360088" w:rsidRDefault="00687135" w:rsidP="00924F1D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CB70C8" w:rsidRPr="00360088">
        <w:rPr>
          <w:b/>
          <w:bCs/>
          <w:lang w:val="fr-FR"/>
        </w:rPr>
        <w:t>C</w:t>
      </w:r>
      <w:r w:rsidR="00E85126" w:rsidRPr="00360088">
        <w:rPr>
          <w:b/>
          <w:bCs/>
          <w:lang w:val="fr-FR"/>
        </w:rPr>
        <w:t>andidats</w:t>
      </w:r>
      <w:r w:rsidR="00C25BEB" w:rsidRPr="00360088">
        <w:rPr>
          <w:b/>
          <w:bCs/>
          <w:lang w:val="fr-FR"/>
        </w:rPr>
        <w:t> </w:t>
      </w:r>
      <w:r w:rsidR="00CB70C8" w:rsidRPr="00360088">
        <w:rPr>
          <w:b/>
          <w:bCs/>
          <w:lang w:val="fr-FR"/>
        </w:rPr>
        <w:t>?</w:t>
      </w:r>
    </w:p>
    <w:p w14:paraId="560FBEA7" w14:textId="1CB87762" w:rsidR="00924F1D" w:rsidRPr="00360088" w:rsidRDefault="00687135" w:rsidP="00924F1D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CB70C8" w:rsidRPr="00360088">
        <w:rPr>
          <w:b/>
          <w:bCs/>
          <w:lang w:val="fr-FR"/>
        </w:rPr>
        <w:t>J</w:t>
      </w:r>
      <w:r w:rsidR="00924F1D" w:rsidRPr="00360088">
        <w:rPr>
          <w:b/>
          <w:bCs/>
          <w:lang w:val="fr-FR"/>
        </w:rPr>
        <w:t>uges</w:t>
      </w:r>
      <w:r w:rsidR="00C25BEB" w:rsidRPr="00360088">
        <w:rPr>
          <w:b/>
          <w:bCs/>
          <w:lang w:val="fr-FR"/>
        </w:rPr>
        <w:t> </w:t>
      </w:r>
      <w:r w:rsidR="00CB70C8" w:rsidRPr="00360088">
        <w:rPr>
          <w:b/>
          <w:bCs/>
          <w:lang w:val="fr-FR"/>
        </w:rPr>
        <w:t>?</w:t>
      </w:r>
    </w:p>
    <w:p w14:paraId="795C44F1" w14:textId="19756AF3" w:rsidR="00E85126" w:rsidRPr="00360088" w:rsidRDefault="00C25BEB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est la répartition hommes/femmes dans </w:t>
      </w:r>
      <w:r w:rsidR="00E85126" w:rsidRPr="00360088">
        <w:rPr>
          <w:b/>
          <w:bCs/>
          <w:lang w:val="fr-FR"/>
        </w:rPr>
        <w:t>:</w:t>
      </w:r>
    </w:p>
    <w:tbl>
      <w:tblPr>
        <w:tblStyle w:val="ListTable7Colorful"/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0"/>
        <w:gridCol w:w="1558"/>
        <w:gridCol w:w="1572"/>
      </w:tblGrid>
      <w:tr w:rsidR="008F49E8" w:rsidRPr="00B70CAF" w14:paraId="447BC098" w14:textId="77777777" w:rsidTr="00EB5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9A8BDF" w14:textId="77777777" w:rsidR="008F49E8" w:rsidRPr="00B70CAF" w:rsidRDefault="008F49E8" w:rsidP="00C2147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4A79B" w14:textId="1C674ECA" w:rsidR="008F49E8" w:rsidRPr="00B70CAF" w:rsidRDefault="00C25BEB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Hommes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CEB020" w14:textId="04D89827" w:rsidR="008F49E8" w:rsidRPr="00B70CAF" w:rsidRDefault="00C25BEB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Femmes</w:t>
            </w:r>
          </w:p>
        </w:tc>
      </w:tr>
      <w:tr w:rsidR="008F49E8" w:rsidRPr="00B70CAF" w14:paraId="6EE884FC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5A9866C0" w14:textId="2ACB6536" w:rsidR="008F49E8" w:rsidRPr="00B70CAF" w:rsidRDefault="00C25BEB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Tribunaux d’instance</w:t>
            </w:r>
          </w:p>
        </w:tc>
        <w:tc>
          <w:tcPr>
            <w:tcW w:w="932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3AAC44B" w14:textId="77777777" w:rsidR="008F49E8" w:rsidRPr="00B70CAF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394457" w14:textId="77777777" w:rsidR="008F49E8" w:rsidRPr="00B70CAF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8F49E8" w:rsidRPr="00B70CAF" w14:paraId="5DE4F589" w14:textId="77777777" w:rsidTr="00EB5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942B0C7" w14:textId="4E8EF151" w:rsidR="008F49E8" w:rsidRPr="00B70CAF" w:rsidRDefault="00C25BEB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Tribunaux de grande instance</w:t>
            </w:r>
          </w:p>
        </w:tc>
        <w:tc>
          <w:tcPr>
            <w:tcW w:w="932" w:type="pct"/>
            <w:tcBorders>
              <w:left w:val="single" w:sz="12" w:space="0" w:color="auto"/>
              <w:right w:val="single" w:sz="12" w:space="0" w:color="auto"/>
            </w:tcBorders>
          </w:tcPr>
          <w:p w14:paraId="3E84BE99" w14:textId="77777777" w:rsidR="008F49E8" w:rsidRPr="00B70CAF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left w:val="single" w:sz="12" w:space="0" w:color="auto"/>
              <w:right w:val="single" w:sz="12" w:space="0" w:color="auto"/>
            </w:tcBorders>
          </w:tcPr>
          <w:p w14:paraId="0590DA8A" w14:textId="77777777" w:rsidR="008F49E8" w:rsidRPr="00B70CAF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8F49E8" w:rsidRPr="00B70CAF" w14:paraId="4FEF70AE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33AC7232" w14:textId="490DB7AB" w:rsidR="008F49E8" w:rsidRPr="00B70CAF" w:rsidRDefault="00D420B5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Hautes cours</w:t>
            </w:r>
          </w:p>
        </w:tc>
        <w:tc>
          <w:tcPr>
            <w:tcW w:w="932" w:type="pct"/>
            <w:tcBorders>
              <w:left w:val="single" w:sz="12" w:space="0" w:color="auto"/>
              <w:right w:val="single" w:sz="12" w:space="0" w:color="auto"/>
            </w:tcBorders>
          </w:tcPr>
          <w:p w14:paraId="79A5B171" w14:textId="77777777" w:rsidR="008F49E8" w:rsidRPr="00B70CAF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left w:val="single" w:sz="12" w:space="0" w:color="auto"/>
              <w:right w:val="single" w:sz="12" w:space="0" w:color="auto"/>
            </w:tcBorders>
          </w:tcPr>
          <w:p w14:paraId="64952E9D" w14:textId="77777777" w:rsidR="008F49E8" w:rsidRPr="00B70CAF" w:rsidRDefault="008F49E8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8F49E8" w:rsidRPr="00B70CAF" w14:paraId="249796A4" w14:textId="77777777" w:rsidTr="00EB5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5355385" w14:textId="193942C5" w:rsidR="008F49E8" w:rsidRPr="00B70CAF" w:rsidRDefault="00C25BEB" w:rsidP="008E5A46">
            <w:pPr>
              <w:spacing w:line="276" w:lineRule="auto"/>
              <w:jc w:val="left"/>
              <w:rPr>
                <w:rFonts w:asciiTheme="minorHAnsi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Cour de cassation</w:t>
            </w:r>
          </w:p>
        </w:tc>
        <w:tc>
          <w:tcPr>
            <w:tcW w:w="93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D1EB7D" w14:textId="77777777" w:rsidR="008F49E8" w:rsidRPr="00B70CAF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43C98A" w14:textId="77777777" w:rsidR="008F49E8" w:rsidRPr="00B70CAF" w:rsidRDefault="008F49E8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</w:tbl>
    <w:p w14:paraId="55CD11AF" w14:textId="298BE730" w:rsidR="00E85126" w:rsidRPr="00360088" w:rsidRDefault="00687135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C25BEB" w:rsidRPr="00360088">
        <w:rPr>
          <w:b/>
          <w:bCs/>
          <w:lang w:val="fr-FR"/>
        </w:rPr>
        <w:t>Si votre système judiciaire possède plus</w:t>
      </w:r>
      <w:r w:rsidR="00E85126" w:rsidRPr="00360088">
        <w:rPr>
          <w:b/>
          <w:bCs/>
          <w:lang w:val="fr-FR"/>
        </w:rPr>
        <w:t xml:space="preserve"> </w:t>
      </w:r>
      <w:r w:rsidR="00C25BEB" w:rsidRPr="00360088">
        <w:rPr>
          <w:b/>
          <w:bCs/>
          <w:lang w:val="fr-FR"/>
        </w:rPr>
        <w:t>d’</w:t>
      </w:r>
      <w:r w:rsidR="00E85126" w:rsidRPr="00360088">
        <w:rPr>
          <w:b/>
          <w:bCs/>
          <w:lang w:val="fr-FR"/>
        </w:rPr>
        <w:t xml:space="preserve">instances, </w:t>
      </w:r>
      <w:r w:rsidR="00C25BEB" w:rsidRPr="00360088">
        <w:rPr>
          <w:b/>
          <w:bCs/>
          <w:lang w:val="fr-FR"/>
        </w:rPr>
        <w:t>merci de détailler</w:t>
      </w:r>
      <w:r w:rsidR="00E85126" w:rsidRPr="00360088">
        <w:rPr>
          <w:b/>
          <w:bCs/>
          <w:lang w:val="fr-FR"/>
        </w:rPr>
        <w:t>.</w:t>
      </w:r>
    </w:p>
    <w:p w14:paraId="372C5505" w14:textId="6BC18B28" w:rsidR="00E85126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Quelles sont les conditions pour </w:t>
      </w:r>
      <w:r w:rsidR="00CB70C8" w:rsidRPr="00360088">
        <w:rPr>
          <w:b/>
          <w:bCs/>
          <w:lang w:val="fr-FR"/>
        </w:rPr>
        <w:t>:</w:t>
      </w:r>
    </w:p>
    <w:p w14:paraId="3AC6709E" w14:textId="75CC211E" w:rsidR="00E85126" w:rsidRPr="00360088" w:rsidRDefault="00E85126" w:rsidP="00E85126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proofErr w:type="gramStart"/>
      <w:r w:rsidR="00D420B5" w:rsidRPr="00360088">
        <w:rPr>
          <w:b/>
          <w:bCs/>
          <w:lang w:val="fr-FR"/>
        </w:rPr>
        <w:t>être</w:t>
      </w:r>
      <w:proofErr w:type="gramEnd"/>
      <w:r w:rsidR="00D420B5" w:rsidRPr="00360088">
        <w:rPr>
          <w:b/>
          <w:bCs/>
          <w:lang w:val="fr-FR"/>
        </w:rPr>
        <w:t xml:space="preserve"> promu à un tribunal d’instance supérieure </w:t>
      </w:r>
      <w:r w:rsidR="00CB70C8" w:rsidRPr="00360088">
        <w:rPr>
          <w:b/>
          <w:bCs/>
          <w:lang w:val="fr-FR"/>
        </w:rPr>
        <w:t>?</w:t>
      </w:r>
    </w:p>
    <w:p w14:paraId="69DB2208" w14:textId="2F6E6198" w:rsidR="00E85126" w:rsidRPr="00360088" w:rsidRDefault="00E85126" w:rsidP="00E85126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lastRenderedPageBreak/>
        <w:t xml:space="preserve"> </w:t>
      </w:r>
      <w:proofErr w:type="gramStart"/>
      <w:r w:rsidR="00350DA6">
        <w:rPr>
          <w:b/>
          <w:bCs/>
          <w:lang w:val="fr-FR"/>
        </w:rPr>
        <w:t>exerc</w:t>
      </w:r>
      <w:r w:rsidR="00D420B5" w:rsidRPr="00360088">
        <w:rPr>
          <w:b/>
          <w:bCs/>
          <w:lang w:val="fr-FR"/>
        </w:rPr>
        <w:t>er</w:t>
      </w:r>
      <w:proofErr w:type="gramEnd"/>
      <w:r w:rsidR="00D420B5" w:rsidRPr="00360088">
        <w:rPr>
          <w:b/>
          <w:bCs/>
          <w:lang w:val="fr-FR"/>
        </w:rPr>
        <w:t xml:space="preserve"> une </w:t>
      </w:r>
      <w:r w:rsidR="00350DA6">
        <w:rPr>
          <w:b/>
          <w:bCs/>
          <w:lang w:val="fr-FR"/>
        </w:rPr>
        <w:t xml:space="preserve">responsabilité spécifique </w:t>
      </w:r>
      <w:r w:rsidR="00D420B5" w:rsidRPr="00360088">
        <w:rPr>
          <w:b/>
          <w:bCs/>
          <w:lang w:val="fr-FR"/>
        </w:rPr>
        <w:t>dans un tribunal</w:t>
      </w:r>
      <w:r w:rsidRPr="00360088">
        <w:rPr>
          <w:b/>
          <w:bCs/>
          <w:lang w:val="fr-FR"/>
        </w:rPr>
        <w:t xml:space="preserve"> (</w:t>
      </w:r>
      <w:r w:rsidR="00D420B5" w:rsidRPr="00360088">
        <w:rPr>
          <w:b/>
          <w:bCs/>
          <w:lang w:val="fr-FR"/>
        </w:rPr>
        <w:t>par exemple,</w:t>
      </w:r>
      <w:r w:rsidRPr="00360088">
        <w:rPr>
          <w:b/>
          <w:bCs/>
          <w:lang w:val="fr-FR"/>
        </w:rPr>
        <w:t xml:space="preserve"> pr</w:t>
      </w:r>
      <w:r w:rsidR="00D420B5" w:rsidRPr="00360088">
        <w:rPr>
          <w:b/>
          <w:bCs/>
          <w:lang w:val="fr-FR"/>
        </w:rPr>
        <w:t>é</w:t>
      </w:r>
      <w:r w:rsidRPr="00360088">
        <w:rPr>
          <w:b/>
          <w:bCs/>
          <w:lang w:val="fr-FR"/>
        </w:rPr>
        <w:t xml:space="preserve">sident </w:t>
      </w:r>
      <w:r w:rsidR="00D420B5" w:rsidRPr="00360088">
        <w:rPr>
          <w:b/>
          <w:bCs/>
          <w:lang w:val="fr-FR"/>
        </w:rPr>
        <w:t>d’un</w:t>
      </w:r>
      <w:r w:rsidR="00350DA6">
        <w:rPr>
          <w:b/>
          <w:bCs/>
          <w:lang w:val="fr-FR"/>
        </w:rPr>
        <w:t>e</w:t>
      </w:r>
      <w:r w:rsidR="00D420B5" w:rsidRPr="00360088">
        <w:rPr>
          <w:b/>
          <w:bCs/>
          <w:lang w:val="fr-FR"/>
        </w:rPr>
        <w:t xml:space="preserve"> </w:t>
      </w:r>
      <w:r w:rsidR="00350DA6">
        <w:rPr>
          <w:b/>
          <w:bCs/>
          <w:lang w:val="fr-FR"/>
        </w:rPr>
        <w:t>chambre</w:t>
      </w:r>
      <w:r w:rsidRPr="00360088">
        <w:rPr>
          <w:b/>
          <w:bCs/>
          <w:lang w:val="fr-FR"/>
        </w:rPr>
        <w:t>/division)</w:t>
      </w:r>
      <w:r w:rsidR="00D420B5" w:rsidRPr="00360088">
        <w:rPr>
          <w:b/>
          <w:bCs/>
          <w:lang w:val="fr-FR"/>
        </w:rPr>
        <w:t> </w:t>
      </w:r>
      <w:r w:rsidR="00CB70C8" w:rsidRPr="00360088">
        <w:rPr>
          <w:b/>
          <w:bCs/>
          <w:lang w:val="fr-FR"/>
        </w:rPr>
        <w:t>?</w:t>
      </w:r>
    </w:p>
    <w:p w14:paraId="16B5756F" w14:textId="0C30D947" w:rsidR="00E85126" w:rsidRPr="00360088" w:rsidRDefault="00E85126" w:rsidP="00E85126">
      <w:pPr>
        <w:pStyle w:val="ListParagraph"/>
        <w:numPr>
          <w:ilvl w:val="2"/>
          <w:numId w:val="1"/>
        </w:numPr>
        <w:spacing w:line="276" w:lineRule="auto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proofErr w:type="gramStart"/>
      <w:r w:rsidR="00D420B5" w:rsidRPr="00360088">
        <w:rPr>
          <w:b/>
          <w:bCs/>
          <w:lang w:val="fr-FR"/>
        </w:rPr>
        <w:t>devenir</w:t>
      </w:r>
      <w:proofErr w:type="gramEnd"/>
      <w:r w:rsidR="00D420B5" w:rsidRPr="00360088">
        <w:rPr>
          <w:b/>
          <w:bCs/>
          <w:lang w:val="fr-FR"/>
        </w:rPr>
        <w:t xml:space="preserve"> président d’un tribunal </w:t>
      </w:r>
      <w:r w:rsidR="00CB70C8" w:rsidRPr="00360088">
        <w:rPr>
          <w:b/>
          <w:bCs/>
          <w:lang w:val="fr-FR"/>
        </w:rPr>
        <w:t>?</w:t>
      </w:r>
    </w:p>
    <w:p w14:paraId="2757FF13" w14:textId="4E3A2F18" w:rsidR="00797754" w:rsidRPr="00797754" w:rsidRDefault="00D420B5" w:rsidP="00797754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Quelle est la procédure de promotion</w:t>
      </w:r>
      <w:r w:rsidR="00E85126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par exemple, qui propose la promotion, qui approuve les candidats) </w:t>
      </w:r>
      <w:r w:rsidR="00E85126" w:rsidRPr="00360088">
        <w:rPr>
          <w:b/>
          <w:bCs/>
          <w:lang w:val="fr-FR"/>
        </w:rPr>
        <w:t>?</w:t>
      </w:r>
    </w:p>
    <w:p w14:paraId="68874E68" w14:textId="144FD508" w:rsidR="00E85126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Merci d’indiquer</w:t>
      </w:r>
      <w:r w:rsidR="00E85126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« </w:t>
      </w:r>
      <w:r w:rsidR="00E85126" w:rsidRPr="00360088">
        <w:rPr>
          <w:b/>
          <w:bCs/>
          <w:lang w:val="fr-FR"/>
        </w:rPr>
        <w:t>X</w:t>
      </w:r>
      <w:r w:rsidRPr="00360088">
        <w:rPr>
          <w:b/>
          <w:bCs/>
          <w:lang w:val="fr-FR"/>
        </w:rPr>
        <w:t> »</w:t>
      </w:r>
      <w:r w:rsidR="00E85126" w:rsidRPr="00360088">
        <w:rPr>
          <w:b/>
          <w:bCs/>
          <w:lang w:val="fr-FR"/>
        </w:rPr>
        <w:t xml:space="preserve">) </w:t>
      </w:r>
      <w:r w:rsidRPr="00360088">
        <w:rPr>
          <w:b/>
          <w:bCs/>
          <w:lang w:val="fr-FR"/>
        </w:rPr>
        <w:t>si la procédure de promotion est </w:t>
      </w:r>
      <w:r w:rsidR="00E85126" w:rsidRPr="00360088">
        <w:rPr>
          <w:b/>
          <w:bCs/>
          <w:lang w:val="fr-FR"/>
        </w:rPr>
        <w:t>:</w:t>
      </w:r>
    </w:p>
    <w:tbl>
      <w:tblPr>
        <w:tblStyle w:val="ListTable7Colorful"/>
        <w:tblW w:w="46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1110"/>
        <w:gridCol w:w="983"/>
        <w:gridCol w:w="1198"/>
      </w:tblGrid>
      <w:tr w:rsidR="00D57FD2" w:rsidRPr="00B70CAF" w14:paraId="18235F2D" w14:textId="79AF2E55" w:rsidTr="00D420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3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D7DD13" w14:textId="77777777" w:rsidR="00D57FD2" w:rsidRPr="00B70CAF" w:rsidRDefault="00D57FD2" w:rsidP="00261D77">
            <w:pPr>
              <w:spacing w:line="276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6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48EDF4" w14:textId="1C053EE5" w:rsidR="00D57FD2" w:rsidRPr="00B70CAF" w:rsidRDefault="00D420B5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  <w:t>Oui</w:t>
            </w: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DD917D" w14:textId="104A9DA1" w:rsidR="00D57FD2" w:rsidRPr="00B70CAF" w:rsidRDefault="00D57FD2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  <w:t>No</w:t>
            </w:r>
            <w:r w:rsidR="00D420B5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  <w:t>n</w:t>
            </w: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1710F" w14:textId="697E4CE4" w:rsidR="00D57FD2" w:rsidRPr="00B70CAF" w:rsidRDefault="00D420B5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>Indéterminé</w:t>
            </w:r>
          </w:p>
        </w:tc>
      </w:tr>
      <w:tr w:rsidR="00D420B5" w:rsidRPr="00B70CAF" w14:paraId="6B49E161" w14:textId="082F6DB0" w:rsidTr="00D4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2006F101" w14:textId="1E1F3349" w:rsidR="00D420B5" w:rsidRPr="00B70CAF" w:rsidRDefault="00D420B5" w:rsidP="00D420B5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Rapide</w:t>
            </w:r>
          </w:p>
        </w:tc>
        <w:tc>
          <w:tcPr>
            <w:tcW w:w="664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5587AEB" w14:textId="77777777" w:rsidR="00D420B5" w:rsidRPr="00B70CAF" w:rsidRDefault="00D420B5" w:rsidP="00D420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8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70751E" w14:textId="77777777" w:rsidR="00D420B5" w:rsidRPr="00B70CAF" w:rsidRDefault="00D420B5" w:rsidP="00D420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FBEA0" w14:textId="77777777" w:rsidR="00D420B5" w:rsidRPr="00B70CAF" w:rsidRDefault="00D420B5" w:rsidP="00D420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</w:tr>
      <w:tr w:rsidR="00D420B5" w:rsidRPr="00B70CAF" w14:paraId="5202A6BB" w14:textId="627C8AF1" w:rsidTr="00D420B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0C582C38" w14:textId="3282DA67" w:rsidR="00D420B5" w:rsidRPr="00B70CAF" w:rsidRDefault="00D420B5" w:rsidP="00D420B5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Transparent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e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(i.e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.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application de critères légaux objectifs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)</w:t>
            </w:r>
          </w:p>
        </w:tc>
        <w:tc>
          <w:tcPr>
            <w:tcW w:w="664" w:type="pct"/>
            <w:tcBorders>
              <w:left w:val="single" w:sz="12" w:space="0" w:color="auto"/>
              <w:right w:val="single" w:sz="12" w:space="0" w:color="auto"/>
            </w:tcBorders>
          </w:tcPr>
          <w:p w14:paraId="2DA51C10" w14:textId="77777777" w:rsidR="00D420B5" w:rsidRPr="00B70CAF" w:rsidRDefault="00D420B5" w:rsidP="00D420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88" w:type="pct"/>
            <w:tcBorders>
              <w:left w:val="single" w:sz="12" w:space="0" w:color="auto"/>
              <w:right w:val="single" w:sz="12" w:space="0" w:color="auto"/>
            </w:tcBorders>
          </w:tcPr>
          <w:p w14:paraId="323262BC" w14:textId="77777777" w:rsidR="00D420B5" w:rsidRPr="00B70CAF" w:rsidRDefault="00D420B5" w:rsidP="00D420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17" w:type="pct"/>
            <w:tcBorders>
              <w:left w:val="single" w:sz="12" w:space="0" w:color="auto"/>
              <w:right w:val="single" w:sz="12" w:space="0" w:color="auto"/>
            </w:tcBorders>
          </w:tcPr>
          <w:p w14:paraId="5EEB25E7" w14:textId="77777777" w:rsidR="00D420B5" w:rsidRPr="00B70CAF" w:rsidRDefault="00D420B5" w:rsidP="00D420B5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</w:tr>
      <w:tr w:rsidR="00D420B5" w:rsidRPr="00B70CAF" w14:paraId="481128BE" w14:textId="20CF2C6B" w:rsidTr="00D420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3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4AC32501" w14:textId="0F97D386" w:rsidR="00D420B5" w:rsidRPr="00B70CAF" w:rsidRDefault="00D420B5" w:rsidP="00D420B5">
            <w:pPr>
              <w:spacing w:line="276" w:lineRule="auto"/>
              <w:jc w:val="left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Unifi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ée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(i.e. </w:t>
            </w: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identique pour tous les tribunaux et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instances)</w:t>
            </w:r>
          </w:p>
        </w:tc>
        <w:tc>
          <w:tcPr>
            <w:tcW w:w="664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F85BC" w14:textId="77777777" w:rsidR="00D420B5" w:rsidRPr="00B70CAF" w:rsidRDefault="00D420B5" w:rsidP="00D420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8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6A4621" w14:textId="77777777" w:rsidR="00D420B5" w:rsidRPr="00B70CAF" w:rsidRDefault="00D420B5" w:rsidP="00D420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7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7C3F6" w14:textId="77777777" w:rsidR="00D420B5" w:rsidRPr="00B70CAF" w:rsidRDefault="00D420B5" w:rsidP="00D420B5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  <w:lang w:val="fr-FR"/>
              </w:rPr>
            </w:pPr>
          </w:p>
        </w:tc>
      </w:tr>
    </w:tbl>
    <w:p w14:paraId="5554E92C" w14:textId="2A20BE26" w:rsidR="00E85126" w:rsidRPr="00360088" w:rsidRDefault="00E85126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D420B5" w:rsidRPr="00360088">
        <w:rPr>
          <w:b/>
          <w:bCs/>
          <w:lang w:val="fr-FR"/>
        </w:rPr>
        <w:t>Si la réponse est « Non » ou « Indéterminé », merci de détailler les raisons de votre réponse</w:t>
      </w:r>
      <w:r w:rsidRPr="00360088">
        <w:rPr>
          <w:b/>
          <w:bCs/>
          <w:lang w:val="fr-FR"/>
        </w:rPr>
        <w:t>.</w:t>
      </w:r>
    </w:p>
    <w:p w14:paraId="0BF83441" w14:textId="36B7B5F1" w:rsidR="002A0EA7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La procédure de sélection assure-t-elle la diversité des candidats </w:t>
      </w:r>
      <w:r w:rsidR="00E85126" w:rsidRPr="00360088">
        <w:rPr>
          <w:b/>
          <w:bCs/>
          <w:lang w:val="fr-FR"/>
        </w:rPr>
        <w:t>?</w:t>
      </w:r>
    </w:p>
    <w:p w14:paraId="5D758E82" w14:textId="3DABF213" w:rsidR="00E85126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Quel est la répartition hommes/femmes dans la fonction de </w:t>
      </w:r>
      <w:r w:rsidR="00E85126" w:rsidRPr="00360088">
        <w:rPr>
          <w:b/>
          <w:bCs/>
          <w:lang w:val="fr-FR"/>
        </w:rPr>
        <w:t>:</w:t>
      </w:r>
    </w:p>
    <w:tbl>
      <w:tblPr>
        <w:tblStyle w:val="ListTable7Colorful"/>
        <w:tblW w:w="46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1700"/>
        <w:gridCol w:w="1572"/>
      </w:tblGrid>
      <w:tr w:rsidR="001120B4" w:rsidRPr="00B70CAF" w14:paraId="428208B2" w14:textId="77777777" w:rsidTr="00EB5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6E719A9" w14:textId="77777777" w:rsidR="001120B4" w:rsidRPr="00B70CAF" w:rsidRDefault="001120B4" w:rsidP="00C2147D">
            <w:pPr>
              <w:spacing w:line="276" w:lineRule="auto"/>
              <w:jc w:val="center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D03DBC" w14:textId="5C0B8008" w:rsidR="001120B4" w:rsidRPr="00B70CAF" w:rsidRDefault="00D420B5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Hommes</w:t>
            </w: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DD513B" w14:textId="0B533411" w:rsidR="001120B4" w:rsidRPr="00B70CAF" w:rsidRDefault="00D420B5" w:rsidP="00C2147D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Femmes</w:t>
            </w:r>
          </w:p>
        </w:tc>
      </w:tr>
      <w:tr w:rsidR="001120B4" w:rsidRPr="00B70CAF" w14:paraId="4D8AE593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</w:tcPr>
          <w:p w14:paraId="11945A5A" w14:textId="160B037E" w:rsidR="001120B4" w:rsidRPr="00B70CAF" w:rsidRDefault="00D420B5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Président d’un tribunal d’instance</w:t>
            </w:r>
          </w:p>
        </w:tc>
        <w:tc>
          <w:tcPr>
            <w:tcW w:w="10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35ADF54" w14:textId="77777777" w:rsidR="001120B4" w:rsidRPr="00B70CAF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364892" w14:textId="77777777" w:rsidR="001120B4" w:rsidRPr="00B70CAF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120B4" w:rsidRPr="00B70CAF" w14:paraId="233E58AD" w14:textId="77777777" w:rsidTr="00EB5AA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pct"/>
            <w:tcBorders>
              <w:left w:val="single" w:sz="12" w:space="0" w:color="auto"/>
              <w:right w:val="single" w:sz="12" w:space="0" w:color="auto"/>
            </w:tcBorders>
            <w:noWrap/>
          </w:tcPr>
          <w:p w14:paraId="64961EC1" w14:textId="3E911B18" w:rsidR="001120B4" w:rsidRPr="00B70CAF" w:rsidRDefault="00D420B5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Président d’un tribunal de grande instance</w:t>
            </w:r>
          </w:p>
        </w:tc>
        <w:tc>
          <w:tcPr>
            <w:tcW w:w="1017" w:type="pct"/>
            <w:tcBorders>
              <w:left w:val="single" w:sz="12" w:space="0" w:color="auto"/>
              <w:right w:val="single" w:sz="12" w:space="0" w:color="auto"/>
            </w:tcBorders>
          </w:tcPr>
          <w:p w14:paraId="6E26B098" w14:textId="77777777" w:rsidR="001120B4" w:rsidRPr="00B70CAF" w:rsidRDefault="001120B4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left w:val="single" w:sz="12" w:space="0" w:color="auto"/>
              <w:right w:val="single" w:sz="12" w:space="0" w:color="auto"/>
            </w:tcBorders>
          </w:tcPr>
          <w:p w14:paraId="5D51B94B" w14:textId="77777777" w:rsidR="001120B4" w:rsidRPr="00B70CAF" w:rsidRDefault="001120B4" w:rsidP="00C2147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1120B4" w:rsidRPr="00B70CAF" w14:paraId="6E1A9CA6" w14:textId="77777777" w:rsidTr="00EB5A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29DCA3F0" w14:textId="11498DF0" w:rsidR="001120B4" w:rsidRPr="00B70CAF" w:rsidRDefault="00D420B5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>Président d’une Haute cour</w:t>
            </w:r>
          </w:p>
        </w:tc>
        <w:tc>
          <w:tcPr>
            <w:tcW w:w="10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A05C8" w14:textId="77777777" w:rsidR="001120B4" w:rsidRPr="00B70CAF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94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C8A19" w14:textId="77777777" w:rsidR="001120B4" w:rsidRPr="00B70CAF" w:rsidRDefault="001120B4" w:rsidP="00C2147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</w:tbl>
    <w:p w14:paraId="0AF75D09" w14:textId="6554A5AE" w:rsidR="00DD362F" w:rsidRPr="00360088" w:rsidRDefault="00D420B5" w:rsidP="00687135">
      <w:pPr>
        <w:pStyle w:val="ListParagraph"/>
        <w:numPr>
          <w:ilvl w:val="2"/>
          <w:numId w:val="1"/>
        </w:numPr>
        <w:spacing w:before="120" w:line="276" w:lineRule="auto"/>
        <w:ind w:left="1225" w:hanging="505"/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Si votre système judiciaire possède plus d’instances, merci de détailler</w:t>
      </w:r>
      <w:r w:rsidR="00E85126" w:rsidRPr="00360088">
        <w:rPr>
          <w:b/>
          <w:bCs/>
          <w:lang w:val="fr-FR"/>
        </w:rPr>
        <w:t>.</w:t>
      </w:r>
    </w:p>
    <w:p w14:paraId="487DC436" w14:textId="77777777" w:rsidR="00A24976" w:rsidRPr="00B70CAF" w:rsidRDefault="00A24976" w:rsidP="00A24976">
      <w:pPr>
        <w:pStyle w:val="ListParagraph"/>
        <w:spacing w:line="276" w:lineRule="auto"/>
        <w:ind w:left="1224"/>
        <w:jc w:val="both"/>
        <w:rPr>
          <w:lang w:val="fr-FR"/>
        </w:rPr>
      </w:pPr>
    </w:p>
    <w:p w14:paraId="4F1AFA47" w14:textId="590EAE71" w:rsidR="00E85126" w:rsidRPr="00B70CAF" w:rsidRDefault="00E85126" w:rsidP="00E85126">
      <w:pPr>
        <w:pStyle w:val="ListParagraph"/>
        <w:numPr>
          <w:ilvl w:val="0"/>
          <w:numId w:val="1"/>
        </w:numPr>
        <w:spacing w:line="276" w:lineRule="auto"/>
        <w:rPr>
          <w:b/>
          <w:bCs/>
          <w:lang w:val="fr-FR"/>
        </w:rPr>
      </w:pPr>
      <w:r w:rsidRPr="00B70CAF">
        <w:rPr>
          <w:b/>
          <w:bCs/>
          <w:lang w:val="fr-FR"/>
        </w:rPr>
        <w:t>Questions</w:t>
      </w:r>
      <w:r w:rsidR="00D420B5" w:rsidRPr="00D420B5">
        <w:rPr>
          <w:b/>
          <w:bCs/>
          <w:lang w:val="fr-FR"/>
        </w:rPr>
        <w:t xml:space="preserve"> </w:t>
      </w:r>
      <w:r w:rsidR="00D420B5">
        <w:rPr>
          <w:b/>
          <w:bCs/>
          <w:lang w:val="fr-FR"/>
        </w:rPr>
        <w:t>complémentaires</w:t>
      </w:r>
    </w:p>
    <w:p w14:paraId="59004524" w14:textId="40C6BA68" w:rsidR="00E85126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Des recherches ont-elles été menées dans votre pays pour évaluer le prestige/statut social des juges aux yeux du grand public ?</w:t>
      </w:r>
    </w:p>
    <w:p w14:paraId="3AC340AC" w14:textId="35254987" w:rsidR="00306D54" w:rsidRPr="00360088" w:rsidRDefault="00D420B5" w:rsidP="00306D54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Prend-on des mesures particulières pour accroître l’attractivité, en matière de gestion des ressources humaines par exemple ?</w:t>
      </w:r>
    </w:p>
    <w:p w14:paraId="2CA7C1D1" w14:textId="38A2D06C" w:rsidR="00306D54" w:rsidRPr="00360088" w:rsidRDefault="00D420B5" w:rsidP="00306D54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Conduit-on des études parmi les étudiants en droit pour mesurer leur intérêt </w:t>
      </w:r>
      <w:r w:rsidR="00263EE3">
        <w:rPr>
          <w:b/>
          <w:bCs/>
          <w:lang w:val="fr-FR"/>
        </w:rPr>
        <w:t>pou</w:t>
      </w:r>
      <w:r w:rsidRPr="00360088">
        <w:rPr>
          <w:b/>
          <w:bCs/>
          <w:lang w:val="fr-FR"/>
        </w:rPr>
        <w:t>r la carrière de juge ?</w:t>
      </w:r>
    </w:p>
    <w:p w14:paraId="7A695DA0" w14:textId="01183F91" w:rsidR="00E85126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Le système judiciaire de votre pays souffre-t-il d’un manque de candidats intéressés par la profession de juge ?</w:t>
      </w:r>
    </w:p>
    <w:p w14:paraId="13F5CA35" w14:textId="0DA4BB43" w:rsidR="00DC7B0E" w:rsidRPr="00360088" w:rsidRDefault="00D420B5" w:rsidP="00DC7B0E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Rencontrez-vous une pénurie de juges susceptible d’affecter le fonctionnement de votre système judiciaire ?</w:t>
      </w:r>
    </w:p>
    <w:p w14:paraId="0D5C24C2" w14:textId="2C92A7E2" w:rsidR="00DC7B0E" w:rsidRPr="00360088" w:rsidRDefault="00602C00" w:rsidP="00DC7B0E">
      <w:pPr>
        <w:pStyle w:val="ListParagraph"/>
        <w:numPr>
          <w:ilvl w:val="2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 xml:space="preserve"> </w:t>
      </w:r>
      <w:r w:rsidR="00D420B5" w:rsidRPr="00360088">
        <w:rPr>
          <w:b/>
          <w:bCs/>
          <w:lang w:val="fr-FR"/>
        </w:rPr>
        <w:t>Existe-t-il dans votre pays des postes judiciaires vacants en raison d’un manque d’intérêt ou du manque des qualités requises chez les candidats ?</w:t>
      </w:r>
    </w:p>
    <w:p w14:paraId="3739C461" w14:textId="20F1AA83" w:rsidR="00E85126" w:rsidRPr="00360088" w:rsidRDefault="00D420B5" w:rsidP="002A0EA7">
      <w:pPr>
        <w:pStyle w:val="ListParagraph"/>
        <w:numPr>
          <w:ilvl w:val="1"/>
          <w:numId w:val="1"/>
        </w:numPr>
        <w:jc w:val="both"/>
        <w:rPr>
          <w:b/>
          <w:bCs/>
          <w:lang w:val="fr-FR"/>
        </w:rPr>
      </w:pPr>
      <w:r w:rsidRPr="00360088">
        <w:rPr>
          <w:b/>
          <w:bCs/>
          <w:lang w:val="fr-FR"/>
        </w:rPr>
        <w:t>Merci d’indiquer</w:t>
      </w:r>
      <w:r w:rsidR="00E85126" w:rsidRPr="00360088">
        <w:rPr>
          <w:b/>
          <w:bCs/>
          <w:lang w:val="fr-FR"/>
        </w:rPr>
        <w:t xml:space="preserve"> (</w:t>
      </w:r>
      <w:r w:rsidRPr="00360088">
        <w:rPr>
          <w:b/>
          <w:bCs/>
          <w:lang w:val="fr-FR"/>
        </w:rPr>
        <w:t>« </w:t>
      </w:r>
      <w:r w:rsidR="00E85126" w:rsidRPr="00360088">
        <w:rPr>
          <w:b/>
          <w:bCs/>
          <w:lang w:val="fr-FR"/>
        </w:rPr>
        <w:t>X</w:t>
      </w:r>
      <w:r w:rsidRPr="00360088">
        <w:rPr>
          <w:b/>
          <w:bCs/>
          <w:lang w:val="fr-FR"/>
        </w:rPr>
        <w:t> »</w:t>
      </w:r>
      <w:r w:rsidR="00E85126" w:rsidRPr="00360088">
        <w:rPr>
          <w:b/>
          <w:bCs/>
          <w:lang w:val="fr-FR"/>
        </w:rPr>
        <w:t xml:space="preserve">) </w:t>
      </w:r>
      <w:r w:rsidRPr="00360088">
        <w:rPr>
          <w:b/>
          <w:bCs/>
          <w:lang w:val="fr-FR"/>
        </w:rPr>
        <w:t>dans quelle mesure les facteurs suivants vous paraissent affecter l’attractivité des professions judiciaires</w:t>
      </w:r>
      <w:r w:rsidR="00E85126" w:rsidRPr="00360088">
        <w:rPr>
          <w:b/>
          <w:bCs/>
          <w:lang w:val="fr-FR"/>
        </w:rPr>
        <w:t xml:space="preserve"> </w:t>
      </w:r>
      <w:r w:rsidR="00C57789" w:rsidRPr="00360088">
        <w:rPr>
          <w:b/>
          <w:bCs/>
          <w:lang w:val="fr-FR"/>
        </w:rPr>
        <w:t>pour les personnes intéressées par la carrière de juge</w:t>
      </w:r>
      <w:r w:rsidR="00E85126" w:rsidRPr="00360088">
        <w:rPr>
          <w:b/>
          <w:bCs/>
          <w:lang w:val="fr-FR"/>
        </w:rPr>
        <w:t>.</w:t>
      </w:r>
    </w:p>
    <w:tbl>
      <w:tblPr>
        <w:tblStyle w:val="ListTable7Colorful"/>
        <w:tblW w:w="46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3"/>
        <w:gridCol w:w="917"/>
        <w:gridCol w:w="917"/>
        <w:gridCol w:w="829"/>
        <w:gridCol w:w="842"/>
        <w:gridCol w:w="842"/>
      </w:tblGrid>
      <w:tr w:rsidR="009C2CED" w:rsidRPr="00B70CAF" w14:paraId="05A99A1C" w14:textId="77777777" w:rsidTr="00FA41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E2F7D74" w14:textId="77777777" w:rsidR="009C2CED" w:rsidRPr="00B70CAF" w:rsidRDefault="009C2CED" w:rsidP="00261D77">
            <w:pPr>
              <w:spacing w:line="276" w:lineRule="auto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EC982B" w14:textId="13B19F65" w:rsidR="009C2CED" w:rsidRPr="00B70CAF" w:rsidRDefault="00860DEA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Très</w:t>
            </w:r>
            <w:r w:rsidR="00C57789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négatif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78F9" w14:textId="15130748" w:rsidR="009C2CED" w:rsidRPr="00B70CAF" w:rsidRDefault="00C57789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Plutôt négatif</w:t>
            </w: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BA9A5" w14:textId="027A6E1A" w:rsidR="009C2CED" w:rsidRPr="00B70CAF" w:rsidRDefault="009C2CED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Neutr</w:t>
            </w:r>
            <w:r w:rsidR="00C57789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e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97F9D3" w14:textId="29E6724B" w:rsidR="009C2CED" w:rsidRPr="00B70CAF" w:rsidRDefault="00C57789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Plutôt positif</w:t>
            </w: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82084" w14:textId="47345AC7" w:rsidR="009C2CED" w:rsidRPr="00B70CAF" w:rsidRDefault="00860DEA" w:rsidP="00261D77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Très</w:t>
            </w:r>
            <w:r w:rsidR="00C57789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positif</w:t>
            </w:r>
          </w:p>
        </w:tc>
      </w:tr>
      <w:tr w:rsidR="009C2CED" w:rsidRPr="00B70CAF" w14:paraId="5C29FBAF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689CE48" w14:textId="33CFD165" w:rsidR="009C2CED" w:rsidRPr="00B70CAF" w:rsidRDefault="00C57789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>Normes déontologiques</w:t>
            </w:r>
            <w:r w:rsidR="002D48A2"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BB7D24" w14:textId="77777777" w:rsidR="009C2CED" w:rsidRPr="00B70CAF" w:rsidRDefault="009C2CED" w:rsidP="00261D7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BCB7E0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0E6F880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D7FE18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43BD662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9C2CED" w:rsidRPr="00B70CAF" w14:paraId="73B544BB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51A94988" w14:textId="587157FB" w:rsidR="009C2CED" w:rsidRPr="00B70CAF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 xml:space="preserve">Limitations </w:t>
            </w:r>
            <w:r w:rsidR="00C57789"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>sur les activités annexes des juges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6C1E4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F93FB6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0E1AF0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2C195E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D5FD1F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9C2CED" w:rsidRPr="00B70CAF" w14:paraId="74C3F564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C1ABC3D" w14:textId="254EA6BF" w:rsidR="009C2CED" w:rsidRPr="00B70CAF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  <w:t>Prestige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B41ED6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FFE2A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966600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3F88D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F2F7EF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9C2CED" w:rsidRPr="00B70CAF" w14:paraId="7123FA8E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CA9FB5C" w14:textId="6268F9BC" w:rsidR="009C2CED" w:rsidRPr="00B70CAF" w:rsidRDefault="00C57789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Procédure de promotion</w:t>
            </w:r>
            <w:r w:rsidR="002D48A2"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CBFFB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FDC592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912D29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7E3D6F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07A65C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9C2CED" w:rsidRPr="00B70CAF" w14:paraId="3E45A1BC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0C500470" w14:textId="300274B1" w:rsidR="009C2CED" w:rsidRPr="00B70CAF" w:rsidRDefault="002D48A2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</w:pP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R</w:t>
            </w:r>
            <w:r w:rsidR="00C57789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é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mun</w:t>
            </w:r>
            <w:r w:rsidR="00C57789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é</w:t>
            </w:r>
            <w:r w:rsidRPr="00B70CAF"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ration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C6F10F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ACB62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916B1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BE83E99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B63332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color w:val="auto"/>
                <w:sz w:val="20"/>
                <w:szCs w:val="20"/>
                <w:lang w:val="fr-FR"/>
              </w:rPr>
            </w:pPr>
          </w:p>
        </w:tc>
      </w:tr>
      <w:tr w:rsidR="009C2CED" w:rsidRPr="00B70CAF" w14:paraId="45769324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105A702F" w14:textId="5551C425" w:rsidR="009C2CED" w:rsidRPr="00B70CAF" w:rsidRDefault="00C57789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lastRenderedPageBreak/>
              <w:t>Système de retraite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E681A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3CB405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D2DFFC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E79AEB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2EF113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9C2CED" w:rsidRPr="00B70CAF" w14:paraId="6B8A77B0" w14:textId="77777777" w:rsidTr="00FA41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right w:val="single" w:sz="12" w:space="0" w:color="auto"/>
            </w:tcBorders>
            <w:noWrap/>
            <w:vAlign w:val="center"/>
          </w:tcPr>
          <w:p w14:paraId="70F7A371" w14:textId="784BD90E" w:rsidR="009C2CED" w:rsidRPr="00B70CAF" w:rsidRDefault="00C57789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Procédure de sélection</w:t>
            </w: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461E4F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05AB13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809A5E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AEF744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50D3DA" w14:textId="77777777" w:rsidR="009C2CED" w:rsidRPr="00B70CAF" w:rsidRDefault="009C2CED" w:rsidP="00261D7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  <w:tr w:rsidR="009C2CED" w:rsidRPr="00B70CAF" w14:paraId="7D4D34E6" w14:textId="77777777" w:rsidTr="00FA4193">
        <w:trPr>
          <w:trHeight w:val="3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3A1E8E07" w14:textId="44E9E5CE" w:rsidR="009C2CED" w:rsidRPr="00B70CAF" w:rsidRDefault="00C57789" w:rsidP="008E5A46">
            <w:pPr>
              <w:spacing w:line="276" w:lineRule="auto"/>
              <w:jc w:val="left"/>
              <w:rPr>
                <w:rFonts w:asciiTheme="minorHAnsi" w:eastAsiaTheme="minorEastAsia" w:hAnsiTheme="minorHAnsi" w:cstheme="minorHAnsi"/>
                <w:sz w:val="20"/>
                <w:szCs w:val="20"/>
                <w:lang w:val="fr-FR"/>
              </w:rPr>
            </w:pPr>
            <w:r>
              <w:rPr>
                <w:rFonts w:asciiTheme="minorHAnsi" w:eastAsiaTheme="minorEastAsia" w:hAnsiTheme="minorHAnsi" w:cstheme="minorHAnsi"/>
                <w:color w:val="auto"/>
                <w:sz w:val="20"/>
                <w:szCs w:val="20"/>
                <w:lang w:val="fr-FR"/>
              </w:rPr>
              <w:t>Sécurité sociale et assurance de santé</w:t>
            </w:r>
          </w:p>
        </w:tc>
        <w:tc>
          <w:tcPr>
            <w:tcW w:w="5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B7C62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543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F8D47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7B8FD2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93984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  <w:tc>
          <w:tcPr>
            <w:tcW w:w="49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3048B5" w14:textId="77777777" w:rsidR="009C2CED" w:rsidRPr="00B70CAF" w:rsidRDefault="009C2CED" w:rsidP="00261D7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 w:cstheme="minorHAnsi"/>
                <w:sz w:val="20"/>
                <w:szCs w:val="20"/>
                <w:lang w:val="fr-FR"/>
              </w:rPr>
            </w:pPr>
          </w:p>
        </w:tc>
      </w:tr>
    </w:tbl>
    <w:p w14:paraId="3C63B092" w14:textId="77777777" w:rsidR="002D7026" w:rsidRPr="00B70CAF" w:rsidRDefault="002D7026">
      <w:pPr>
        <w:rPr>
          <w:lang w:val="fr-FR"/>
        </w:rPr>
      </w:pPr>
    </w:p>
    <w:sectPr w:rsidR="002D7026" w:rsidRPr="00B70CA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B522DE" w14:textId="77777777" w:rsidR="00EF2831" w:rsidRDefault="00EF2831" w:rsidP="007307A0">
      <w:pPr>
        <w:spacing w:after="0" w:line="240" w:lineRule="auto"/>
      </w:pPr>
      <w:r>
        <w:separator/>
      </w:r>
    </w:p>
  </w:endnote>
  <w:endnote w:type="continuationSeparator" w:id="0">
    <w:p w14:paraId="2652F458" w14:textId="77777777" w:rsidR="00EF2831" w:rsidRDefault="00EF2831" w:rsidP="0073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4259728"/>
      <w:docPartObj>
        <w:docPartGallery w:val="Page Numbers (Bottom of Page)"/>
        <w:docPartUnique/>
      </w:docPartObj>
    </w:sdtPr>
    <w:sdtEndPr/>
    <w:sdtContent>
      <w:p w14:paraId="6DF63613" w14:textId="7CBEF870" w:rsidR="007307A0" w:rsidRDefault="007307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9426F56" w14:textId="77777777" w:rsidR="007307A0" w:rsidRDefault="007307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4CA4B3" w14:textId="77777777" w:rsidR="00EF2831" w:rsidRDefault="00EF2831" w:rsidP="007307A0">
      <w:pPr>
        <w:spacing w:after="0" w:line="240" w:lineRule="auto"/>
      </w:pPr>
      <w:r>
        <w:separator/>
      </w:r>
    </w:p>
  </w:footnote>
  <w:footnote w:type="continuationSeparator" w:id="0">
    <w:p w14:paraId="3838F1AF" w14:textId="77777777" w:rsidR="00EF2831" w:rsidRDefault="00EF2831" w:rsidP="0073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56DC4"/>
    <w:multiLevelType w:val="multilevel"/>
    <w:tmpl w:val="EA4264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6150C3"/>
    <w:multiLevelType w:val="hybridMultilevel"/>
    <w:tmpl w:val="0A56DA0A"/>
    <w:lvl w:ilvl="0" w:tplc="04050005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93089549">
    <w:abstractNumId w:val="0"/>
  </w:num>
  <w:num w:numId="2" w16cid:durableId="1371538639">
    <w:abstractNumId w:val="1"/>
  </w:num>
  <w:num w:numId="3" w16cid:durableId="2613044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EC5"/>
    <w:rsid w:val="00003E38"/>
    <w:rsid w:val="000306B2"/>
    <w:rsid w:val="00042D16"/>
    <w:rsid w:val="00047A1B"/>
    <w:rsid w:val="00051898"/>
    <w:rsid w:val="00082F75"/>
    <w:rsid w:val="00085305"/>
    <w:rsid w:val="000902CA"/>
    <w:rsid w:val="0009305D"/>
    <w:rsid w:val="00094684"/>
    <w:rsid w:val="00094F0C"/>
    <w:rsid w:val="000A3D5B"/>
    <w:rsid w:val="000A756E"/>
    <w:rsid w:val="000B11CD"/>
    <w:rsid w:val="000D4977"/>
    <w:rsid w:val="000D79A4"/>
    <w:rsid w:val="000E756F"/>
    <w:rsid w:val="000F3138"/>
    <w:rsid w:val="00105C27"/>
    <w:rsid w:val="001120B4"/>
    <w:rsid w:val="0012084A"/>
    <w:rsid w:val="001357DC"/>
    <w:rsid w:val="00137E33"/>
    <w:rsid w:val="00145110"/>
    <w:rsid w:val="00156B11"/>
    <w:rsid w:val="00157BEA"/>
    <w:rsid w:val="00175007"/>
    <w:rsid w:val="0018324A"/>
    <w:rsid w:val="00184DEC"/>
    <w:rsid w:val="00187D26"/>
    <w:rsid w:val="00193E01"/>
    <w:rsid w:val="001A2C79"/>
    <w:rsid w:val="001A4A45"/>
    <w:rsid w:val="001A6D5A"/>
    <w:rsid w:val="001B4CC4"/>
    <w:rsid w:val="001C0993"/>
    <w:rsid w:val="001E4D7D"/>
    <w:rsid w:val="001F3C57"/>
    <w:rsid w:val="00212761"/>
    <w:rsid w:val="002306FB"/>
    <w:rsid w:val="00257D7C"/>
    <w:rsid w:val="00263EE3"/>
    <w:rsid w:val="002651C3"/>
    <w:rsid w:val="0027273A"/>
    <w:rsid w:val="002A0EA7"/>
    <w:rsid w:val="002A347A"/>
    <w:rsid w:val="002A6470"/>
    <w:rsid w:val="002B2D49"/>
    <w:rsid w:val="002C1FED"/>
    <w:rsid w:val="002D48A2"/>
    <w:rsid w:val="002D7026"/>
    <w:rsid w:val="002E0B3C"/>
    <w:rsid w:val="002F1A08"/>
    <w:rsid w:val="002F275E"/>
    <w:rsid w:val="00306D54"/>
    <w:rsid w:val="0031785F"/>
    <w:rsid w:val="00337CDE"/>
    <w:rsid w:val="00350DA6"/>
    <w:rsid w:val="00353472"/>
    <w:rsid w:val="00360088"/>
    <w:rsid w:val="00386347"/>
    <w:rsid w:val="003B21CC"/>
    <w:rsid w:val="003B6733"/>
    <w:rsid w:val="003C0B13"/>
    <w:rsid w:val="003E0BEF"/>
    <w:rsid w:val="0041691C"/>
    <w:rsid w:val="00426C09"/>
    <w:rsid w:val="004303A7"/>
    <w:rsid w:val="004308A0"/>
    <w:rsid w:val="004314C7"/>
    <w:rsid w:val="00432471"/>
    <w:rsid w:val="00445DE2"/>
    <w:rsid w:val="00450B38"/>
    <w:rsid w:val="00452C90"/>
    <w:rsid w:val="004555EA"/>
    <w:rsid w:val="00456E73"/>
    <w:rsid w:val="00457404"/>
    <w:rsid w:val="004919DD"/>
    <w:rsid w:val="004E7E70"/>
    <w:rsid w:val="00515577"/>
    <w:rsid w:val="0052255B"/>
    <w:rsid w:val="00563DBB"/>
    <w:rsid w:val="00595F00"/>
    <w:rsid w:val="005A162C"/>
    <w:rsid w:val="005C0254"/>
    <w:rsid w:val="005C4C25"/>
    <w:rsid w:val="00602C00"/>
    <w:rsid w:val="00606DCB"/>
    <w:rsid w:val="00617705"/>
    <w:rsid w:val="00620399"/>
    <w:rsid w:val="006301F8"/>
    <w:rsid w:val="0063066F"/>
    <w:rsid w:val="00631971"/>
    <w:rsid w:val="00635B35"/>
    <w:rsid w:val="00636FE1"/>
    <w:rsid w:val="00640DBF"/>
    <w:rsid w:val="00657DD8"/>
    <w:rsid w:val="0066601C"/>
    <w:rsid w:val="00667BFD"/>
    <w:rsid w:val="006835F0"/>
    <w:rsid w:val="00687135"/>
    <w:rsid w:val="006877BE"/>
    <w:rsid w:val="006A5D6C"/>
    <w:rsid w:val="006A7429"/>
    <w:rsid w:val="006B0AB2"/>
    <w:rsid w:val="006B0F59"/>
    <w:rsid w:val="006C7297"/>
    <w:rsid w:val="006D4F76"/>
    <w:rsid w:val="006D6351"/>
    <w:rsid w:val="006F5E5B"/>
    <w:rsid w:val="006F74B4"/>
    <w:rsid w:val="00725001"/>
    <w:rsid w:val="007307A0"/>
    <w:rsid w:val="00736252"/>
    <w:rsid w:val="00753B91"/>
    <w:rsid w:val="00797754"/>
    <w:rsid w:val="007D66E1"/>
    <w:rsid w:val="007E7958"/>
    <w:rsid w:val="007F42A2"/>
    <w:rsid w:val="007F7784"/>
    <w:rsid w:val="00804E25"/>
    <w:rsid w:val="008101DA"/>
    <w:rsid w:val="00812B4A"/>
    <w:rsid w:val="00822399"/>
    <w:rsid w:val="0082634C"/>
    <w:rsid w:val="00854506"/>
    <w:rsid w:val="00860DEA"/>
    <w:rsid w:val="008645F3"/>
    <w:rsid w:val="0088247B"/>
    <w:rsid w:val="008912C4"/>
    <w:rsid w:val="00892444"/>
    <w:rsid w:val="008C2798"/>
    <w:rsid w:val="008E5A46"/>
    <w:rsid w:val="008F2011"/>
    <w:rsid w:val="008F49E8"/>
    <w:rsid w:val="00900CA7"/>
    <w:rsid w:val="0090523B"/>
    <w:rsid w:val="00916221"/>
    <w:rsid w:val="00924F1D"/>
    <w:rsid w:val="009510BF"/>
    <w:rsid w:val="009513C6"/>
    <w:rsid w:val="009546B3"/>
    <w:rsid w:val="00966E03"/>
    <w:rsid w:val="009677CB"/>
    <w:rsid w:val="00983983"/>
    <w:rsid w:val="009A4F39"/>
    <w:rsid w:val="009B11BC"/>
    <w:rsid w:val="009C2CED"/>
    <w:rsid w:val="009D7F28"/>
    <w:rsid w:val="00A0023F"/>
    <w:rsid w:val="00A063E7"/>
    <w:rsid w:val="00A17D67"/>
    <w:rsid w:val="00A20062"/>
    <w:rsid w:val="00A235DD"/>
    <w:rsid w:val="00A24976"/>
    <w:rsid w:val="00A418F9"/>
    <w:rsid w:val="00A50DF1"/>
    <w:rsid w:val="00A546C5"/>
    <w:rsid w:val="00A548E9"/>
    <w:rsid w:val="00A66A35"/>
    <w:rsid w:val="00A9138C"/>
    <w:rsid w:val="00AA7822"/>
    <w:rsid w:val="00AB28B2"/>
    <w:rsid w:val="00AB48AB"/>
    <w:rsid w:val="00AC4F51"/>
    <w:rsid w:val="00B01F7C"/>
    <w:rsid w:val="00B06A8E"/>
    <w:rsid w:val="00B06C5F"/>
    <w:rsid w:val="00B10C69"/>
    <w:rsid w:val="00B13C52"/>
    <w:rsid w:val="00B30595"/>
    <w:rsid w:val="00B52686"/>
    <w:rsid w:val="00B53C2F"/>
    <w:rsid w:val="00B54B62"/>
    <w:rsid w:val="00B62A80"/>
    <w:rsid w:val="00B632E4"/>
    <w:rsid w:val="00B66889"/>
    <w:rsid w:val="00B70CAF"/>
    <w:rsid w:val="00B746EF"/>
    <w:rsid w:val="00BD3617"/>
    <w:rsid w:val="00BF439F"/>
    <w:rsid w:val="00BF5441"/>
    <w:rsid w:val="00C1005F"/>
    <w:rsid w:val="00C25BEB"/>
    <w:rsid w:val="00C428B1"/>
    <w:rsid w:val="00C548F0"/>
    <w:rsid w:val="00C55A41"/>
    <w:rsid w:val="00C57789"/>
    <w:rsid w:val="00C75E02"/>
    <w:rsid w:val="00C92B01"/>
    <w:rsid w:val="00CA078B"/>
    <w:rsid w:val="00CA54DF"/>
    <w:rsid w:val="00CB70C8"/>
    <w:rsid w:val="00CD37E3"/>
    <w:rsid w:val="00CE28EF"/>
    <w:rsid w:val="00CE6A7C"/>
    <w:rsid w:val="00CF1FFD"/>
    <w:rsid w:val="00D07B96"/>
    <w:rsid w:val="00D1573A"/>
    <w:rsid w:val="00D30BC6"/>
    <w:rsid w:val="00D30E38"/>
    <w:rsid w:val="00D34DF3"/>
    <w:rsid w:val="00D413DF"/>
    <w:rsid w:val="00D420B5"/>
    <w:rsid w:val="00D456F8"/>
    <w:rsid w:val="00D52D31"/>
    <w:rsid w:val="00D57FD2"/>
    <w:rsid w:val="00D603A9"/>
    <w:rsid w:val="00D622C7"/>
    <w:rsid w:val="00D77122"/>
    <w:rsid w:val="00D82E69"/>
    <w:rsid w:val="00D875B4"/>
    <w:rsid w:val="00DC6AB3"/>
    <w:rsid w:val="00DC7B0E"/>
    <w:rsid w:val="00DD179E"/>
    <w:rsid w:val="00DD1B1E"/>
    <w:rsid w:val="00DD362F"/>
    <w:rsid w:val="00DD3910"/>
    <w:rsid w:val="00DE610D"/>
    <w:rsid w:val="00E00A44"/>
    <w:rsid w:val="00E22FA9"/>
    <w:rsid w:val="00E54D71"/>
    <w:rsid w:val="00E670DB"/>
    <w:rsid w:val="00E76EC5"/>
    <w:rsid w:val="00E76F2F"/>
    <w:rsid w:val="00E85126"/>
    <w:rsid w:val="00E922AB"/>
    <w:rsid w:val="00EB5AA5"/>
    <w:rsid w:val="00EC2B86"/>
    <w:rsid w:val="00ED6F5E"/>
    <w:rsid w:val="00EE4A1B"/>
    <w:rsid w:val="00EE7E21"/>
    <w:rsid w:val="00EF2831"/>
    <w:rsid w:val="00EF4B1E"/>
    <w:rsid w:val="00F045B0"/>
    <w:rsid w:val="00F3430E"/>
    <w:rsid w:val="00F352C3"/>
    <w:rsid w:val="00F717DF"/>
    <w:rsid w:val="00F840C0"/>
    <w:rsid w:val="00F96E99"/>
    <w:rsid w:val="00FA137D"/>
    <w:rsid w:val="00FA4193"/>
    <w:rsid w:val="00FE1975"/>
    <w:rsid w:val="00FE7CC2"/>
    <w:rsid w:val="00FF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A5095"/>
  <w15:chartTrackingRefBased/>
  <w15:docId w15:val="{91E9BE07-0C68-4070-8199-335840F4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B01"/>
    <w:pPr>
      <w:ind w:left="720"/>
      <w:contextualSpacing/>
    </w:pPr>
  </w:style>
  <w:style w:type="table" w:styleId="GridTable1Light">
    <w:name w:val="Grid Table 1 Light"/>
    <w:basedOn w:val="TableNormal"/>
    <w:uiPriority w:val="46"/>
    <w:rsid w:val="00137E3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">
    <w:name w:val="List Table 7 Colorful"/>
    <w:basedOn w:val="TableNormal"/>
    <w:uiPriority w:val="52"/>
    <w:rsid w:val="00E8512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E85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D34DF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:lang w:eastAsia="cs-CZ"/>
      <w14:ligatures w14:val="non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3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7A0"/>
  </w:style>
  <w:style w:type="paragraph" w:styleId="Footer">
    <w:name w:val="footer"/>
    <w:basedOn w:val="Normal"/>
    <w:link w:val="FooterChar"/>
    <w:uiPriority w:val="99"/>
    <w:unhideWhenUsed/>
    <w:rsid w:val="007307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7A0"/>
  </w:style>
  <w:style w:type="paragraph" w:styleId="Revision">
    <w:name w:val="Revision"/>
    <w:hidden/>
    <w:uiPriority w:val="99"/>
    <w:semiHidden/>
    <w:rsid w:val="00D82E6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10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01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01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1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68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89108-77C1-4A8B-B8B0-E09754B23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1605</Words>
  <Characters>9150</Characters>
  <Application>Microsoft Office Word</Application>
  <DocSecurity>0</DocSecurity>
  <Lines>76</Lines>
  <Paragraphs>21</Paragraphs>
  <ScaleCrop>false</ScaleCrop>
  <HeadingPairs>
    <vt:vector size="8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10734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Zápotocká Jana</dc:creator>
  <cp:keywords/>
  <dc:description/>
  <cp:lastModifiedBy>Liis Lindström</cp:lastModifiedBy>
  <cp:revision>23</cp:revision>
  <cp:lastPrinted>2024-01-26T11:43:00Z</cp:lastPrinted>
  <dcterms:created xsi:type="dcterms:W3CDTF">2024-03-06T14:49:00Z</dcterms:created>
  <dcterms:modified xsi:type="dcterms:W3CDTF">2024-03-14T13:10:00Z</dcterms:modified>
</cp:coreProperties>
</file>